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center"/>
      </w:pPr>
      <w:r>
        <w:rPr>
          <w:rFonts w:hint="eastAsia" w:ascii="黑体" w:hAnsi="宋体" w:eastAsia="黑体" w:cs="黑体"/>
          <w:color w:val="333333"/>
          <w:sz w:val="44"/>
          <w:szCs w:val="44"/>
          <w:lang w:eastAsia="zh-CN"/>
        </w:rPr>
        <w:t>抚远市</w:t>
      </w:r>
      <w:r>
        <w:rPr>
          <w:rFonts w:ascii="黑体" w:hAnsi="宋体" w:eastAsia="黑体" w:cs="黑体"/>
          <w:color w:val="333333"/>
          <w:sz w:val="44"/>
          <w:szCs w:val="44"/>
        </w:rPr>
        <w:t>卫生</w:t>
      </w:r>
      <w:r>
        <w:rPr>
          <w:rFonts w:hint="eastAsia" w:ascii="黑体" w:hAnsi="宋体" w:eastAsia="黑体" w:cs="黑体"/>
          <w:color w:val="333333"/>
          <w:sz w:val="44"/>
          <w:szCs w:val="44"/>
        </w:rPr>
        <w:t>健康局行政处罚服务指南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</w:pPr>
      <w:r>
        <w:rPr>
          <w:rFonts w:ascii="微软雅黑" w:hAnsi="微软雅黑" w:eastAsia="微软雅黑" w:cs="微软雅黑"/>
          <w:color w:val="333333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一、执法事项：</w:t>
      </w:r>
      <w:r>
        <w:rPr>
          <w:rFonts w:ascii="仿宋_GB2312" w:hAnsi="宋体" w:eastAsia="仿宋_GB2312" w:cs="仿宋_GB2312"/>
          <w:color w:val="333333"/>
          <w:sz w:val="32"/>
          <w:szCs w:val="32"/>
        </w:rPr>
        <w:t>卫生计生行政处罚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二、依据：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《中华人民共和国行政处罚法》、《中华人民共和国行政强制法》、《中华人民共和国行政复议法》、《中华人民共和国行政诉讼法》、《中华人民共和国传染病防治法》、《中华人民共和国执业医师法》、《中华人民共和国职业病防治法》、《中华人民共和国人口与计划生育法》、《中华人民共和国母婴保健法》、《中华人民共和国献血法》、《医疗机构管理条例》、《学校卫生工作条例》、《医疗废物管理条例》、《生活饮用水管理办法》、《消毒管理办法》、《公共场所卫生管理条例》等有关法律、法规及规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三、处罚范围：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依法开展公共场所卫生、饮用水卫生、学校卫生、医疗卫生、职业卫生、放射卫生、传染病防治、计划生育和中医服务等综合监督行政执法，查处违法行为。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eastAsia" w:eastAsia="仿宋_GB2312"/>
          <w:lang w:eastAsia="zh-CN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四、承办机构：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eastAsia="zh-CN"/>
        </w:rPr>
        <w:t>抚远市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卫生计生综合监督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eastAsia="zh-CN"/>
        </w:rPr>
        <w:t>执法局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五、审批机构：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eastAsia="zh-CN"/>
        </w:rPr>
        <w:t>抚远市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卫生健康育局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 w:firstLineChars="200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六、办理流程：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eastAsia="zh-CN"/>
        </w:rPr>
        <w:t>抚远市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卫生健康局行政处罚流程图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七、办理时限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（一）自受理之日7日内立案；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个月内调查终结，3个月作出行政处罚决定。需要延长办案时限的，应当在期限届满10日前报请上级行政机关批准或省级行政机关负责人集体讨论决定，延长期限一般不超过3个月。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（二）证据先行登记保存时限7天，查封扣押期限30天，情况复杂需要延长的，经行政机关负责人批准可延长30日。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（三）直接送达的文书7日内送达，公告送达时限60天。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八、监督方式：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稽查跟踪稽查。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九、救济渠道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（一）行政处罚事先告知下达后3日内，当事人有要求陈述、申辩或听证的权力；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（二）行政处罚决定书送达后，当事人应当在15日内履行。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（三）如不服行政机关作出的处罚决定，可在收到行政处罚决定书之日起60日内向上级行政部门或同级人民政府申请行政复议，或者6个月内向作出行政处罚决定行政机关所在地人民法院提请诉讼。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十、处罚结果：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向当事人送达行政处罚决定书，行政处罚结果在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eastAsia="zh-CN"/>
        </w:rPr>
        <w:t>卫健局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官方网站公示。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eastAsia" w:ascii="黑体" w:hAnsi="宋体" w:eastAsia="黑体" w:cs="黑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十一、责任追究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vertAlign w:val="baseline"/>
        </w:rPr>
        <w:t>（一）对没有法定的行政处罚依据，擅自改变行政处罚种类幅度，违反法定的行政处罚程序的，对直接负责的主管人员和其他直接责任人员依法给予行政处分。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textAlignment w:val="baseline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vertAlign w:val="baseline"/>
        </w:rPr>
        <w:t>（二）对不使用罚款、没收财物单据或者使用非法定部门制发的罚款、没收财物单据的，对直接负责的主管人员和其他直接责任人员依法给予行政处分。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textAlignment w:val="baseline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vertAlign w:val="baseline"/>
        </w:rPr>
        <w:t>（三）对将罚款、没收的违法所得或者财物截留、私分或者变相私分的，由财政部门或者有关部门予以追缴，对直接负责的主管人员和其他直接责任人员依法给予行政处分；情节严重构成犯罪的，依法追究刑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textAlignment w:val="baseline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vertAlign w:val="baseline"/>
        </w:rPr>
        <w:t>（四）对利用职务上的便利，索取或者收受他人财物、收缴罚款据为己有，构成犯罪的，依法追究刑事责任；情节轻微不构成犯罪的，依法给予行政处分。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textAlignment w:val="baseline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vertAlign w:val="baseline"/>
        </w:rPr>
        <w:t>（五）对使用或者损毁扣押的财物，对当事人造成损失的，应当依法予以赔偿，对直接负责的主管人员和其他直接责任人员依法给予行政处分。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　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十二、办公地点、时间及电话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（一）地点：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eastAsia="zh-CN"/>
        </w:rPr>
        <w:t>抚远市长江路西段卫生健康局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（二）时间：上午：8:30 ～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11:30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 xml:space="preserve"> 下午：13:30～17: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（三）电话：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lang w:val="en-US" w:eastAsia="zh-CN"/>
        </w:rPr>
        <w:t>0454-2136998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E3963"/>
    <w:rsid w:val="5DBF6620"/>
    <w:rsid w:val="7F6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spacing w:val="15"/>
      <w:u w:val="none"/>
    </w:rPr>
  </w:style>
  <w:style w:type="character" w:styleId="6">
    <w:name w:val="Hyperlink"/>
    <w:basedOn w:val="4"/>
    <w:qFormat/>
    <w:uiPriority w:val="0"/>
    <w:rPr>
      <w:color w:val="333333"/>
      <w:spacing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2020-06-30T05:57:00Z</dcterms:created>
  <dc:creator>John</dc:creator>
  <cp:lastModifiedBy>John</cp:lastModifiedBy>
  <dcterms:modified xsi:type="dcterms:W3CDTF">2020-08-14T02:29:12Z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