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17" w:afterLines="50" w:line="240" w:lineRule="auto"/>
        <w:ind w:firstLine="0" w:firstLineChars="0"/>
        <w:rPr>
          <w:rFonts w:ascii="宋体" w:hAnsi="宋体"/>
          <w:b/>
          <w:color w:val="000000"/>
          <w:sz w:val="48"/>
          <w:szCs w:val="48"/>
        </w:rPr>
      </w:pPr>
      <w:bookmarkStart w:id="0" w:name="_Hlk77074593"/>
    </w:p>
    <w:p>
      <w:pPr>
        <w:spacing w:after="217" w:afterLines="50" w:line="240" w:lineRule="auto"/>
        <w:ind w:firstLine="0" w:firstLineChars="0"/>
        <w:jc w:val="center"/>
        <w:rPr>
          <w:rFonts w:ascii="宋体" w:hAnsi="宋体"/>
          <w:b/>
          <w:color w:val="000000"/>
          <w:sz w:val="48"/>
          <w:szCs w:val="48"/>
        </w:rPr>
      </w:pPr>
      <w:bookmarkStart w:id="1" w:name="_Hlk77074559"/>
      <w:bookmarkStart w:id="876" w:name="_GoBack"/>
      <w:r>
        <w:rPr>
          <w:rFonts w:hint="eastAsia" w:ascii="宋体" w:hAnsi="宋体"/>
          <w:b/>
          <w:color w:val="000000"/>
          <w:sz w:val="48"/>
          <w:szCs w:val="48"/>
        </w:rPr>
        <w:t>抚远市国家生态文明建设示范市规划</w:t>
      </w:r>
      <w:bookmarkEnd w:id="1"/>
    </w:p>
    <w:bookmarkEnd w:id="876"/>
    <w:p>
      <w:pPr>
        <w:spacing w:after="217" w:afterLines="50" w:line="240" w:lineRule="auto"/>
        <w:ind w:firstLine="0" w:firstLineChars="0"/>
        <w:jc w:val="center"/>
        <w:rPr>
          <w:rFonts w:ascii="宋体" w:hAnsi="宋体"/>
          <w:b/>
          <w:color w:val="000000"/>
          <w:sz w:val="32"/>
          <w:szCs w:val="32"/>
        </w:rPr>
      </w:pPr>
      <w:r>
        <w:rPr>
          <w:rFonts w:hint="eastAsia" w:ascii="宋体" w:hAnsi="宋体"/>
          <w:color w:val="000000"/>
          <w:sz w:val="32"/>
          <w:szCs w:val="32"/>
        </w:rPr>
        <w:t>（2020-202</w:t>
      </w:r>
      <w:r>
        <w:rPr>
          <w:rFonts w:ascii="宋体" w:hAnsi="宋体"/>
          <w:color w:val="000000"/>
          <w:sz w:val="32"/>
          <w:szCs w:val="32"/>
        </w:rPr>
        <w:t>5</w:t>
      </w:r>
      <w:r>
        <w:rPr>
          <w:rFonts w:hint="eastAsia" w:ascii="宋体" w:hAnsi="宋体"/>
          <w:color w:val="000000"/>
          <w:sz w:val="32"/>
          <w:szCs w:val="32"/>
        </w:rPr>
        <w:t>年）</w:t>
      </w:r>
    </w:p>
    <w:p>
      <w:pPr>
        <w:spacing w:line="240" w:lineRule="auto"/>
        <w:ind w:firstLine="0" w:firstLineChars="0"/>
        <w:jc w:val="center"/>
        <w:rPr>
          <w:rFonts w:ascii="宋体" w:hAnsi="宋体"/>
          <w:color w:val="000000"/>
          <w:szCs w:val="28"/>
        </w:rPr>
      </w:pPr>
    </w:p>
    <w:p>
      <w:pPr>
        <w:spacing w:line="240" w:lineRule="auto"/>
        <w:ind w:firstLine="0" w:firstLineChars="0"/>
        <w:jc w:val="center"/>
        <w:rPr>
          <w:rFonts w:ascii="宋体" w:hAnsi="宋体"/>
          <w:color w:val="000000"/>
          <w:szCs w:val="28"/>
        </w:rPr>
      </w:pPr>
    </w:p>
    <w:p>
      <w:pPr>
        <w:spacing w:line="240" w:lineRule="auto"/>
        <w:ind w:firstLine="0" w:firstLineChars="0"/>
        <w:jc w:val="center"/>
        <w:rPr>
          <w:rFonts w:ascii="宋体" w:hAnsi="宋体"/>
          <w:color w:val="000000"/>
          <w:szCs w:val="28"/>
        </w:rPr>
      </w:pPr>
      <w:r>
        <w:rPr>
          <w:rFonts w:hint="eastAsia" w:ascii="宋体" w:hAnsi="宋体"/>
          <w:szCs w:val="28"/>
        </w:rPr>
        <w:drawing>
          <wp:anchor distT="0" distB="0" distL="114300" distR="114300" simplePos="0" relativeHeight="251659264" behindDoc="0" locked="0" layoutInCell="1" allowOverlap="1">
            <wp:simplePos x="0" y="0"/>
            <wp:positionH relativeFrom="page">
              <wp:posOffset>20955</wp:posOffset>
            </wp:positionH>
            <wp:positionV relativeFrom="paragraph">
              <wp:posOffset>282575</wp:posOffset>
            </wp:positionV>
            <wp:extent cx="7513320" cy="4710430"/>
            <wp:effectExtent l="0" t="0" r="0" b="0"/>
            <wp:wrapThrough wrapText="bothSides">
              <wp:wrapPolygon>
                <wp:start x="0" y="0"/>
                <wp:lineTo x="0" y="21489"/>
                <wp:lineTo x="21523" y="21489"/>
                <wp:lineTo x="21523" y="0"/>
                <wp:lineTo x="0" y="0"/>
              </wp:wrapPolygon>
            </wp:wrapThrough>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7513320" cy="4710430"/>
                    </a:xfrm>
                    <a:prstGeom prst="rect">
                      <a:avLst/>
                    </a:prstGeom>
                    <a:noFill/>
                    <a:ln>
                      <a:noFill/>
                    </a:ln>
                  </pic:spPr>
                </pic:pic>
              </a:graphicData>
            </a:graphic>
          </wp:anchor>
        </w:drawing>
      </w:r>
    </w:p>
    <w:p>
      <w:pPr>
        <w:spacing w:after="217" w:afterLines="50" w:line="480" w:lineRule="auto"/>
        <w:ind w:firstLine="0" w:firstLineChars="0"/>
        <w:jc w:val="center"/>
        <w:rPr>
          <w:rFonts w:ascii="宋体" w:hAnsi="宋体"/>
          <w:b/>
          <w:color w:val="000000"/>
          <w:szCs w:val="28"/>
        </w:rPr>
      </w:pPr>
    </w:p>
    <w:p>
      <w:pPr>
        <w:spacing w:after="217" w:afterLines="50" w:line="480" w:lineRule="auto"/>
        <w:ind w:firstLine="0" w:firstLineChars="0"/>
        <w:jc w:val="center"/>
        <w:rPr>
          <w:rFonts w:ascii="宋体" w:hAnsi="宋体"/>
          <w:b/>
          <w:color w:val="000000"/>
          <w:sz w:val="32"/>
          <w:szCs w:val="32"/>
        </w:rPr>
      </w:pPr>
      <w:r>
        <w:rPr>
          <w:rFonts w:hint="eastAsia" w:ascii="宋体" w:hAnsi="宋体"/>
          <w:b/>
          <w:color w:val="000000"/>
          <w:sz w:val="32"/>
          <w:szCs w:val="32"/>
        </w:rPr>
        <w:t>二</w:t>
      </w:r>
      <w:r>
        <w:rPr>
          <w:rFonts w:hint="eastAsia" w:ascii="宋体" w:hAnsi="宋体"/>
          <w:b/>
          <w:bCs/>
          <w:sz w:val="32"/>
          <w:szCs w:val="36"/>
        </w:rPr>
        <w:t>〇</w:t>
      </w:r>
      <w:r>
        <w:rPr>
          <w:rFonts w:hint="eastAsia" w:ascii="宋体" w:hAnsi="宋体"/>
          <w:b/>
          <w:color w:val="000000"/>
          <w:sz w:val="32"/>
          <w:szCs w:val="32"/>
        </w:rPr>
        <w:t>二一年 五月</w:t>
      </w:r>
    </w:p>
    <w:p>
      <w:pPr>
        <w:spacing w:line="560" w:lineRule="exact"/>
        <w:ind w:firstLine="720"/>
        <w:jc w:val="center"/>
        <w:rPr>
          <w:rFonts w:ascii="Times New Roman" w:hAnsi="Times New Roman"/>
          <w:sz w:val="36"/>
          <w:szCs w:val="40"/>
        </w:rPr>
      </w:pPr>
      <w:r>
        <w:rPr>
          <w:rFonts w:ascii="Times New Roman" w:hAnsi="Times New Roman"/>
          <w:sz w:val="36"/>
          <w:szCs w:val="40"/>
        </w:rPr>
        <w:br w:type="page"/>
      </w:r>
      <w:bookmarkEnd w:id="0"/>
      <w:bookmarkStart w:id="2" w:name="_Hlk76027614"/>
      <w:r>
        <w:rPr>
          <w:rFonts w:hint="eastAsia" w:ascii="Times New Roman" w:hAnsi="Times New Roman" w:cs="仿宋"/>
          <w:b/>
          <w:bCs/>
          <w:sz w:val="32"/>
          <w:szCs w:val="32"/>
        </w:rPr>
        <w:t>黑龙江省抚远市国家生态文明建设示范市</w:t>
      </w:r>
    </w:p>
    <w:p>
      <w:pPr>
        <w:spacing w:line="560" w:lineRule="exact"/>
        <w:ind w:firstLine="643"/>
        <w:jc w:val="center"/>
        <w:rPr>
          <w:rFonts w:ascii="Times New Roman" w:hAnsi="Times New Roman" w:cs="仿宋"/>
          <w:b/>
          <w:bCs/>
          <w:sz w:val="32"/>
          <w:szCs w:val="32"/>
        </w:rPr>
      </w:pPr>
      <w:r>
        <w:rPr>
          <w:rFonts w:hint="eastAsia" w:ascii="Times New Roman" w:hAnsi="Times New Roman" w:cs="仿宋"/>
          <w:b/>
          <w:bCs/>
          <w:sz w:val="32"/>
          <w:szCs w:val="32"/>
        </w:rPr>
        <w:t>规划领导小组</w:t>
      </w:r>
    </w:p>
    <w:p>
      <w:pPr>
        <w:ind w:firstLine="560"/>
        <w:jc w:val="center"/>
        <w:rPr>
          <w:rFonts w:ascii="Times New Roman" w:hAnsi="Times New Roman" w:cs="仿宋"/>
          <w:szCs w:val="28"/>
        </w:rPr>
      </w:pPr>
    </w:p>
    <w:p>
      <w:pPr>
        <w:ind w:firstLine="560"/>
        <w:jc w:val="left"/>
        <w:rPr>
          <w:rFonts w:ascii="Times New Roman" w:hAnsi="Times New Roman" w:cs="仿宋"/>
          <w:szCs w:val="28"/>
        </w:rPr>
      </w:pPr>
      <w:r>
        <w:rPr>
          <w:rFonts w:hint="eastAsia" w:ascii="Times New Roman" w:hAnsi="Times New Roman" w:cs="仿宋"/>
          <w:szCs w:val="28"/>
        </w:rPr>
        <w:t xml:space="preserve">组 </w:t>
      </w:r>
      <w:r>
        <w:rPr>
          <w:rFonts w:ascii="Times New Roman" w:hAnsi="Times New Roman" w:cs="仿宋"/>
          <w:szCs w:val="28"/>
        </w:rPr>
        <w:t xml:space="preserve"> </w:t>
      </w:r>
      <w:r>
        <w:rPr>
          <w:rFonts w:hint="eastAsia" w:ascii="Times New Roman" w:hAnsi="Times New Roman" w:cs="仿宋"/>
          <w:szCs w:val="28"/>
        </w:rPr>
        <w:t>长：沈  滨  市委书记</w:t>
      </w:r>
    </w:p>
    <w:p>
      <w:pPr>
        <w:ind w:firstLine="1680" w:firstLineChars="600"/>
        <w:jc w:val="left"/>
        <w:rPr>
          <w:rFonts w:ascii="Times New Roman" w:hAnsi="Times New Roman" w:cs="仿宋"/>
          <w:szCs w:val="28"/>
        </w:rPr>
      </w:pPr>
      <w:r>
        <w:rPr>
          <w:rFonts w:hint="eastAsia" w:ascii="Times New Roman" w:hAnsi="Times New Roman" w:cs="仿宋"/>
          <w:szCs w:val="28"/>
        </w:rPr>
        <w:t>葛立彬  市委副书记、市政府市长</w:t>
      </w:r>
    </w:p>
    <w:p>
      <w:pPr>
        <w:ind w:firstLine="560"/>
        <w:jc w:val="left"/>
        <w:rPr>
          <w:rFonts w:ascii="Times New Roman" w:hAnsi="Times New Roman" w:cs="仿宋"/>
          <w:szCs w:val="28"/>
        </w:rPr>
      </w:pPr>
      <w:r>
        <w:rPr>
          <w:rFonts w:hint="eastAsia" w:ascii="Times New Roman" w:hAnsi="Times New Roman" w:cs="仿宋"/>
          <w:szCs w:val="28"/>
        </w:rPr>
        <w:t>副组长：李宁宁  市委副书记</w:t>
      </w:r>
    </w:p>
    <w:p>
      <w:pPr>
        <w:ind w:firstLine="560"/>
        <w:jc w:val="left"/>
        <w:rPr>
          <w:rFonts w:ascii="Times New Roman" w:hAnsi="Times New Roman" w:cs="仿宋"/>
          <w:szCs w:val="28"/>
        </w:rPr>
      </w:pPr>
      <w:r>
        <w:rPr>
          <w:rFonts w:hint="eastAsia" w:ascii="Times New Roman" w:hAnsi="Times New Roman" w:cs="仿宋"/>
          <w:szCs w:val="28"/>
        </w:rPr>
        <w:t xml:space="preserve">        孙秋丽  市委常委、市组织部长</w:t>
      </w:r>
    </w:p>
    <w:p>
      <w:pPr>
        <w:ind w:firstLine="560"/>
        <w:jc w:val="left"/>
        <w:rPr>
          <w:rFonts w:ascii="Times New Roman" w:hAnsi="Times New Roman" w:cs="仿宋"/>
          <w:szCs w:val="28"/>
        </w:rPr>
      </w:pPr>
      <w:r>
        <w:rPr>
          <w:rFonts w:hint="eastAsia" w:ascii="Times New Roman" w:hAnsi="Times New Roman" w:cs="仿宋"/>
          <w:szCs w:val="28"/>
        </w:rPr>
        <w:t xml:space="preserve">        张  鑫  市委常委、市纪委书记、市监委主任</w:t>
      </w:r>
    </w:p>
    <w:p>
      <w:pPr>
        <w:ind w:firstLine="560"/>
        <w:jc w:val="left"/>
        <w:rPr>
          <w:rFonts w:ascii="Times New Roman" w:hAnsi="Times New Roman" w:cs="仿宋"/>
          <w:szCs w:val="28"/>
        </w:rPr>
      </w:pPr>
      <w:r>
        <w:rPr>
          <w:rFonts w:hint="eastAsia" w:ascii="Times New Roman" w:hAnsi="Times New Roman" w:cs="仿宋"/>
          <w:szCs w:val="28"/>
        </w:rPr>
        <w:t xml:space="preserve">        富  强  市委常委、副市长</w:t>
      </w:r>
    </w:p>
    <w:p>
      <w:pPr>
        <w:ind w:firstLine="1680" w:firstLineChars="600"/>
        <w:jc w:val="left"/>
        <w:rPr>
          <w:rFonts w:ascii="Times New Roman" w:hAnsi="Times New Roman" w:cs="仿宋"/>
          <w:szCs w:val="28"/>
        </w:rPr>
      </w:pPr>
      <w:r>
        <w:rPr>
          <w:rFonts w:hint="eastAsia" w:ascii="Times New Roman" w:hAnsi="Times New Roman" w:cs="仿宋"/>
          <w:szCs w:val="28"/>
        </w:rPr>
        <w:t>付  山  市委常委</w:t>
      </w:r>
    </w:p>
    <w:p>
      <w:pPr>
        <w:ind w:firstLine="1680" w:firstLineChars="600"/>
        <w:jc w:val="left"/>
        <w:rPr>
          <w:rFonts w:ascii="Times New Roman" w:hAnsi="Times New Roman" w:cs="仿宋"/>
          <w:szCs w:val="28"/>
        </w:rPr>
      </w:pPr>
      <w:r>
        <w:rPr>
          <w:rFonts w:hint="eastAsia" w:ascii="Times New Roman" w:hAnsi="Times New Roman" w:cs="仿宋"/>
          <w:szCs w:val="28"/>
        </w:rPr>
        <w:t>王忠山  市委常委、市宣传部长</w:t>
      </w:r>
    </w:p>
    <w:p>
      <w:pPr>
        <w:ind w:firstLine="1680" w:firstLineChars="600"/>
        <w:jc w:val="left"/>
        <w:rPr>
          <w:rFonts w:ascii="Times New Roman" w:hAnsi="Times New Roman" w:cs="仿宋"/>
          <w:szCs w:val="28"/>
        </w:rPr>
      </w:pPr>
      <w:r>
        <w:rPr>
          <w:rFonts w:hint="eastAsia" w:ascii="Times New Roman" w:hAnsi="Times New Roman" w:cs="仿宋"/>
          <w:szCs w:val="28"/>
        </w:rPr>
        <w:t>邹泉波  市委常委、统战部部长</w:t>
      </w:r>
    </w:p>
    <w:p>
      <w:pPr>
        <w:ind w:firstLine="1680" w:firstLineChars="600"/>
        <w:jc w:val="left"/>
        <w:rPr>
          <w:rFonts w:ascii="Times New Roman" w:hAnsi="Times New Roman" w:cs="仿宋"/>
          <w:szCs w:val="28"/>
        </w:rPr>
      </w:pPr>
      <w:r>
        <w:rPr>
          <w:rFonts w:hint="eastAsia" w:ascii="Times New Roman" w:hAnsi="Times New Roman" w:cs="仿宋"/>
          <w:szCs w:val="28"/>
        </w:rPr>
        <w:t>刘善友  市委常委、政法委书记</w:t>
      </w:r>
    </w:p>
    <w:p>
      <w:pPr>
        <w:widowControl/>
        <w:adjustRightInd w:val="0"/>
        <w:snapToGrid w:val="0"/>
        <w:ind w:firstLine="0" w:firstLineChars="0"/>
        <w:jc w:val="left"/>
        <w:rPr>
          <w:rFonts w:ascii="Times New Roman" w:hAnsi="Times New Roman" w:cs="仿宋"/>
          <w:szCs w:val="28"/>
        </w:rPr>
      </w:pPr>
      <w:r>
        <w:rPr>
          <w:rFonts w:hint="eastAsia" w:ascii="Times New Roman" w:hAnsi="Times New Roman" w:cs="仿宋"/>
          <w:szCs w:val="28"/>
        </w:rPr>
        <w:t xml:space="preserve">    成  员：</w:t>
      </w:r>
    </w:p>
    <w:p>
      <w:pPr>
        <w:ind w:firstLine="560"/>
        <w:jc w:val="left"/>
        <w:rPr>
          <w:rFonts w:ascii="Times New Roman" w:hAnsi="Times New Roman" w:cs="仿宋"/>
          <w:szCs w:val="28"/>
        </w:rPr>
      </w:pPr>
      <w:r>
        <w:rPr>
          <w:rFonts w:hint="eastAsia" w:ascii="Times New Roman" w:hAnsi="Times New Roman" w:cs="仿宋"/>
          <w:szCs w:val="28"/>
        </w:rPr>
        <w:t xml:space="preserve">        孟  欣  市委办主任</w:t>
      </w:r>
    </w:p>
    <w:p>
      <w:pPr>
        <w:ind w:firstLine="560"/>
        <w:jc w:val="left"/>
        <w:rPr>
          <w:rFonts w:ascii="Times New Roman" w:hAnsi="Times New Roman" w:cs="仿宋"/>
          <w:szCs w:val="28"/>
        </w:rPr>
      </w:pPr>
      <w:r>
        <w:rPr>
          <w:rFonts w:hint="eastAsia" w:ascii="Times New Roman" w:hAnsi="Times New Roman" w:cs="仿宋"/>
          <w:szCs w:val="28"/>
        </w:rPr>
        <w:t xml:space="preserve">        祝司民  政府办主任   </w:t>
      </w:r>
    </w:p>
    <w:p>
      <w:pPr>
        <w:ind w:firstLine="560"/>
        <w:jc w:val="left"/>
        <w:rPr>
          <w:rFonts w:ascii="Times New Roman" w:hAnsi="Times New Roman" w:cs="仿宋"/>
          <w:szCs w:val="28"/>
        </w:rPr>
      </w:pPr>
      <w:r>
        <w:rPr>
          <w:rFonts w:hint="eastAsia" w:ascii="Times New Roman" w:hAnsi="Times New Roman" w:cs="仿宋"/>
          <w:szCs w:val="28"/>
        </w:rPr>
        <w:t xml:space="preserve">        刘军利  市生态环境局局长</w:t>
      </w:r>
    </w:p>
    <w:p>
      <w:pPr>
        <w:ind w:firstLine="560"/>
        <w:jc w:val="left"/>
        <w:rPr>
          <w:rFonts w:ascii="Times New Roman" w:hAnsi="Times New Roman" w:cs="仿宋"/>
          <w:szCs w:val="28"/>
        </w:rPr>
      </w:pPr>
      <w:r>
        <w:rPr>
          <w:rFonts w:hint="eastAsia" w:ascii="Times New Roman" w:hAnsi="Times New Roman" w:cs="仿宋"/>
          <w:szCs w:val="28"/>
        </w:rPr>
        <w:t xml:space="preserve">        郑  伟  市发展和改革局局长</w:t>
      </w:r>
    </w:p>
    <w:p>
      <w:pPr>
        <w:ind w:firstLine="560"/>
        <w:jc w:val="left"/>
        <w:rPr>
          <w:rFonts w:ascii="Times New Roman" w:hAnsi="Times New Roman" w:cs="仿宋"/>
          <w:szCs w:val="28"/>
        </w:rPr>
      </w:pPr>
      <w:r>
        <w:rPr>
          <w:rFonts w:hint="eastAsia" w:ascii="Times New Roman" w:hAnsi="Times New Roman" w:cs="仿宋"/>
          <w:szCs w:val="28"/>
        </w:rPr>
        <w:t xml:space="preserve">        张卫富  市工业信息科技局局长</w:t>
      </w:r>
    </w:p>
    <w:p>
      <w:pPr>
        <w:ind w:firstLine="560"/>
        <w:jc w:val="left"/>
        <w:rPr>
          <w:rFonts w:ascii="Times New Roman" w:hAnsi="Times New Roman" w:cs="仿宋"/>
          <w:szCs w:val="28"/>
        </w:rPr>
      </w:pPr>
      <w:r>
        <w:rPr>
          <w:rFonts w:hint="eastAsia" w:ascii="Times New Roman" w:hAnsi="Times New Roman" w:cs="仿宋"/>
          <w:szCs w:val="28"/>
        </w:rPr>
        <w:t xml:space="preserve">        孙艳君  市财政局局长</w:t>
      </w:r>
    </w:p>
    <w:p>
      <w:pPr>
        <w:ind w:firstLine="560"/>
        <w:jc w:val="left"/>
        <w:rPr>
          <w:rFonts w:ascii="Times New Roman" w:hAnsi="Times New Roman" w:cs="仿宋"/>
          <w:kern w:val="0"/>
          <w:szCs w:val="28"/>
        </w:rPr>
      </w:pPr>
      <w:r>
        <w:rPr>
          <w:rFonts w:hint="eastAsia" w:ascii="Times New Roman" w:hAnsi="Times New Roman" w:cs="仿宋"/>
          <w:szCs w:val="28"/>
        </w:rPr>
        <w:t xml:space="preserve">        孙宪海  </w:t>
      </w:r>
      <w:r>
        <w:rPr>
          <w:rFonts w:hint="eastAsia" w:ascii="Times New Roman" w:hAnsi="Times New Roman" w:cs="仿宋"/>
          <w:kern w:val="0"/>
          <w:szCs w:val="28"/>
        </w:rPr>
        <w:t>市审计局局长</w:t>
      </w:r>
    </w:p>
    <w:p>
      <w:pPr>
        <w:ind w:firstLine="480"/>
        <w:jc w:val="left"/>
        <w:rPr>
          <w:rFonts w:ascii="Times New Roman" w:hAnsi="Times New Roman" w:cs="Times New Roman"/>
        </w:rPr>
      </w:pPr>
      <w:r>
        <w:rPr>
          <w:rFonts w:hint="eastAsia" w:ascii="Times New Roman" w:hAnsi="Times New Roman"/>
          <w:sz w:val="24"/>
          <w:szCs w:val="21"/>
        </w:rPr>
        <w:t xml:space="preserve">       </w:t>
      </w:r>
      <w:r>
        <w:rPr>
          <w:rFonts w:ascii="Times New Roman" w:hAnsi="Times New Roman"/>
          <w:sz w:val="24"/>
          <w:szCs w:val="21"/>
        </w:rPr>
        <w:t xml:space="preserve"> </w:t>
      </w:r>
      <w:r>
        <w:rPr>
          <w:rFonts w:hint="eastAsia" w:ascii="Times New Roman" w:hAnsi="Times New Roman"/>
          <w:sz w:val="24"/>
          <w:szCs w:val="21"/>
        </w:rPr>
        <w:t xml:space="preserve">  </w:t>
      </w:r>
      <w:r>
        <w:rPr>
          <w:rFonts w:hint="eastAsia" w:ascii="Times New Roman" w:hAnsi="Times New Roman"/>
        </w:rPr>
        <w:t xml:space="preserve">于 </w:t>
      </w:r>
      <w:r>
        <w:rPr>
          <w:rFonts w:ascii="Times New Roman" w:hAnsi="Times New Roman"/>
        </w:rPr>
        <w:t xml:space="preserve"> </w:t>
      </w:r>
      <w:r>
        <w:rPr>
          <w:rFonts w:hint="eastAsia" w:ascii="Times New Roman" w:hAnsi="Times New Roman"/>
        </w:rPr>
        <w:t>风  市统计局局长</w:t>
      </w:r>
    </w:p>
    <w:p>
      <w:pPr>
        <w:ind w:firstLine="560"/>
        <w:jc w:val="left"/>
        <w:rPr>
          <w:rFonts w:ascii="Times New Roman" w:hAnsi="Times New Roman" w:cs="仿宋"/>
          <w:szCs w:val="28"/>
        </w:rPr>
      </w:pPr>
      <w:r>
        <w:rPr>
          <w:rFonts w:hint="eastAsia" w:ascii="Times New Roman" w:hAnsi="Times New Roman" w:cs="仿宋"/>
          <w:szCs w:val="28"/>
        </w:rPr>
        <w:t xml:space="preserve">        祝司军  </w:t>
      </w:r>
      <w:r>
        <w:rPr>
          <w:rFonts w:hint="eastAsia" w:ascii="Times New Roman" w:hAnsi="Times New Roman" w:cs="仿宋"/>
          <w:kern w:val="0"/>
          <w:szCs w:val="28"/>
        </w:rPr>
        <w:t>市应急管理局局长</w:t>
      </w:r>
    </w:p>
    <w:p>
      <w:pPr>
        <w:ind w:firstLine="560"/>
        <w:jc w:val="left"/>
        <w:rPr>
          <w:rFonts w:ascii="Times New Roman" w:hAnsi="Times New Roman" w:cs="仿宋"/>
          <w:szCs w:val="28"/>
        </w:rPr>
      </w:pPr>
      <w:r>
        <w:rPr>
          <w:rFonts w:hint="eastAsia" w:ascii="Times New Roman" w:hAnsi="Times New Roman" w:cs="仿宋"/>
          <w:szCs w:val="28"/>
        </w:rPr>
        <w:t xml:space="preserve">        迟学军  </w:t>
      </w:r>
      <w:r>
        <w:rPr>
          <w:rFonts w:hint="eastAsia" w:ascii="Times New Roman" w:hAnsi="Times New Roman" w:cs="仿宋"/>
          <w:kern w:val="0"/>
          <w:szCs w:val="28"/>
        </w:rPr>
        <w:t>市林业和草原局局长</w:t>
      </w:r>
    </w:p>
    <w:p>
      <w:pPr>
        <w:ind w:firstLine="560"/>
        <w:jc w:val="left"/>
        <w:rPr>
          <w:rFonts w:ascii="Times New Roman" w:hAnsi="Times New Roman" w:cs="仿宋"/>
          <w:szCs w:val="28"/>
        </w:rPr>
      </w:pPr>
      <w:r>
        <w:rPr>
          <w:rFonts w:hint="eastAsia" w:ascii="Times New Roman" w:hAnsi="Times New Roman" w:cs="仿宋"/>
          <w:szCs w:val="28"/>
        </w:rPr>
        <w:t xml:space="preserve">        高俊富  </w:t>
      </w:r>
      <w:r>
        <w:rPr>
          <w:rFonts w:hint="eastAsia" w:ascii="Times New Roman" w:hAnsi="Times New Roman" w:cs="仿宋"/>
          <w:kern w:val="0"/>
          <w:szCs w:val="28"/>
        </w:rPr>
        <w:t>市自然资源局局长</w:t>
      </w:r>
    </w:p>
    <w:p>
      <w:pPr>
        <w:ind w:firstLine="1680" w:firstLineChars="600"/>
        <w:jc w:val="left"/>
        <w:rPr>
          <w:rFonts w:ascii="Times New Roman" w:hAnsi="Times New Roman" w:cs="仿宋"/>
          <w:szCs w:val="28"/>
        </w:rPr>
      </w:pPr>
      <w:r>
        <w:rPr>
          <w:rFonts w:hint="eastAsia" w:ascii="Times New Roman" w:hAnsi="Times New Roman" w:cs="仿宋"/>
          <w:szCs w:val="28"/>
        </w:rPr>
        <w:t>王  植  市文体广电和旅游局局长</w:t>
      </w:r>
    </w:p>
    <w:p>
      <w:pPr>
        <w:ind w:firstLine="1680" w:firstLineChars="600"/>
        <w:jc w:val="left"/>
        <w:rPr>
          <w:rFonts w:ascii="Times New Roman" w:hAnsi="Times New Roman" w:cs="仿宋"/>
          <w:szCs w:val="28"/>
        </w:rPr>
      </w:pPr>
      <w:r>
        <w:rPr>
          <w:rFonts w:hint="eastAsia" w:ascii="Times New Roman" w:hAnsi="Times New Roman" w:cs="仿宋"/>
          <w:szCs w:val="28"/>
        </w:rPr>
        <w:t>袁传丰  市水务局局长</w:t>
      </w:r>
    </w:p>
    <w:p>
      <w:pPr>
        <w:ind w:firstLine="1680" w:firstLineChars="600"/>
        <w:jc w:val="left"/>
        <w:rPr>
          <w:rFonts w:ascii="Times New Roman" w:hAnsi="Times New Roman" w:cs="仿宋"/>
          <w:szCs w:val="28"/>
        </w:rPr>
      </w:pPr>
      <w:r>
        <w:rPr>
          <w:rFonts w:hint="eastAsia" w:ascii="Times New Roman" w:hAnsi="Times New Roman" w:cs="仿宋"/>
          <w:szCs w:val="28"/>
        </w:rPr>
        <w:t>薛昌禹  市商务和口岸局局长</w:t>
      </w:r>
    </w:p>
    <w:p>
      <w:pPr>
        <w:ind w:firstLine="1680" w:firstLineChars="600"/>
        <w:jc w:val="left"/>
        <w:rPr>
          <w:rFonts w:ascii="Times New Roman" w:hAnsi="Times New Roman" w:cs="仿宋"/>
          <w:szCs w:val="28"/>
        </w:rPr>
      </w:pPr>
      <w:r>
        <w:rPr>
          <w:rFonts w:hint="eastAsia" w:ascii="Times New Roman" w:hAnsi="Times New Roman" w:cs="仿宋"/>
          <w:szCs w:val="28"/>
        </w:rPr>
        <w:t>史胜华  市住房和城乡建设局局长</w:t>
      </w:r>
    </w:p>
    <w:p>
      <w:pPr>
        <w:ind w:firstLine="1680" w:firstLineChars="600"/>
        <w:jc w:val="left"/>
        <w:rPr>
          <w:rFonts w:ascii="Times New Roman" w:hAnsi="Times New Roman" w:cs="仿宋"/>
          <w:szCs w:val="28"/>
        </w:rPr>
      </w:pPr>
      <w:r>
        <w:rPr>
          <w:rFonts w:hint="eastAsia" w:ascii="Times New Roman" w:hAnsi="Times New Roman" w:cs="仿宋"/>
          <w:szCs w:val="28"/>
        </w:rPr>
        <w:t>周志军  市交通运输局局长</w:t>
      </w:r>
    </w:p>
    <w:p>
      <w:pPr>
        <w:ind w:firstLine="1680" w:firstLineChars="600"/>
        <w:jc w:val="left"/>
        <w:rPr>
          <w:rFonts w:ascii="Times New Roman" w:hAnsi="Times New Roman" w:cs="仿宋"/>
          <w:szCs w:val="28"/>
        </w:rPr>
      </w:pPr>
      <w:r>
        <w:rPr>
          <w:rFonts w:hint="eastAsia" w:ascii="Times New Roman" w:hAnsi="Times New Roman" w:cs="仿宋"/>
          <w:szCs w:val="28"/>
        </w:rPr>
        <w:t>刘长利  市农业农村局局长</w:t>
      </w:r>
    </w:p>
    <w:p>
      <w:pPr>
        <w:ind w:firstLine="1680" w:firstLineChars="600"/>
        <w:jc w:val="left"/>
        <w:rPr>
          <w:rFonts w:ascii="Times New Roman" w:hAnsi="Times New Roman" w:cs="仿宋"/>
          <w:szCs w:val="28"/>
        </w:rPr>
      </w:pPr>
      <w:r>
        <w:rPr>
          <w:rFonts w:hint="eastAsia" w:ascii="Times New Roman" w:hAnsi="Times New Roman" w:cs="仿宋"/>
          <w:szCs w:val="28"/>
        </w:rPr>
        <w:t>李国才  市卫生健康局局长</w:t>
      </w:r>
    </w:p>
    <w:p>
      <w:pPr>
        <w:ind w:firstLine="1680" w:firstLineChars="600"/>
        <w:jc w:val="left"/>
        <w:rPr>
          <w:rFonts w:ascii="Times New Roman" w:hAnsi="Times New Roman" w:cs="仿宋"/>
          <w:szCs w:val="28"/>
        </w:rPr>
      </w:pPr>
      <w:r>
        <w:rPr>
          <w:rFonts w:hint="eastAsia" w:ascii="Times New Roman" w:hAnsi="Times New Roman" w:cs="仿宋"/>
          <w:szCs w:val="28"/>
        </w:rPr>
        <w:t>尹作成  市场监督管理局局长</w:t>
      </w:r>
    </w:p>
    <w:p>
      <w:pPr>
        <w:ind w:firstLine="1680" w:firstLineChars="600"/>
        <w:jc w:val="left"/>
        <w:rPr>
          <w:rFonts w:ascii="Times New Roman" w:hAnsi="Times New Roman" w:cs="仿宋"/>
          <w:szCs w:val="28"/>
        </w:rPr>
      </w:pPr>
      <w:r>
        <w:rPr>
          <w:rFonts w:hint="eastAsia" w:ascii="Times New Roman" w:hAnsi="Times New Roman" w:cs="仿宋"/>
          <w:szCs w:val="28"/>
        </w:rPr>
        <w:t>刁</w:t>
      </w:r>
      <w:r>
        <w:rPr>
          <w:rFonts w:ascii="Times New Roman" w:hAnsi="Times New Roman" w:cs="仿宋"/>
          <w:szCs w:val="28"/>
        </w:rPr>
        <w:t xml:space="preserve">  </w:t>
      </w:r>
      <w:r>
        <w:rPr>
          <w:rFonts w:hint="eastAsia" w:ascii="Times New Roman" w:hAnsi="Times New Roman" w:cs="仿宋"/>
          <w:szCs w:val="28"/>
        </w:rPr>
        <w:t>烁  黑瞎子岛建设和管理委员会旅游局局长</w:t>
      </w:r>
    </w:p>
    <w:p>
      <w:pPr>
        <w:ind w:firstLine="1680" w:firstLineChars="600"/>
        <w:jc w:val="left"/>
        <w:rPr>
          <w:rFonts w:ascii="Times New Roman" w:hAnsi="Times New Roman" w:cs="仿宋"/>
          <w:szCs w:val="28"/>
        </w:rPr>
      </w:pPr>
      <w:r>
        <w:rPr>
          <w:rFonts w:hint="eastAsia" w:ascii="Times New Roman" w:hAnsi="Times New Roman"/>
        </w:rPr>
        <w:t>蔡显顺  环保林业国土资源局局长</w:t>
      </w:r>
    </w:p>
    <w:p>
      <w:pPr>
        <w:ind w:firstLine="1680" w:firstLineChars="600"/>
        <w:jc w:val="left"/>
        <w:rPr>
          <w:rFonts w:ascii="Times New Roman" w:hAnsi="Times New Roman" w:cs="仿宋"/>
          <w:szCs w:val="28"/>
        </w:rPr>
      </w:pPr>
      <w:r>
        <w:rPr>
          <w:rFonts w:hint="eastAsia" w:ascii="Times New Roman" w:hAnsi="Times New Roman" w:cs="仿宋"/>
          <w:szCs w:val="28"/>
        </w:rPr>
        <w:t>于晓东  黑龙江三江国家级自然保护区管理局局长</w:t>
      </w:r>
    </w:p>
    <w:p>
      <w:pPr>
        <w:widowControl/>
        <w:ind w:firstLine="0" w:firstLineChars="0"/>
        <w:jc w:val="left"/>
        <w:rPr>
          <w:rFonts w:ascii="Times New Roman" w:hAnsi="Times New Roman"/>
          <w:b/>
          <w:bCs/>
          <w:sz w:val="36"/>
          <w:szCs w:val="40"/>
        </w:rPr>
      </w:pPr>
      <w:r>
        <w:rPr>
          <w:rFonts w:ascii="Times New Roman" w:hAnsi="Times New Roman"/>
          <w:b/>
          <w:bCs/>
          <w:sz w:val="36"/>
          <w:szCs w:val="40"/>
        </w:rPr>
        <w:br w:type="page"/>
      </w:r>
    </w:p>
    <w:bookmarkEnd w:id="2"/>
    <w:p>
      <w:pPr>
        <w:pStyle w:val="11"/>
        <w:tabs>
          <w:tab w:val="right" w:leader="dot" w:pos="8296"/>
        </w:tabs>
        <w:ind w:left="0" w:leftChars="0" w:firstLine="0" w:firstLineChars="0"/>
        <w:jc w:val="center"/>
        <w:rPr>
          <w:rFonts w:ascii="黑体" w:hAnsi="黑体" w:eastAsia="黑体" w:cs="黑体"/>
          <w:b/>
          <w:bCs/>
          <w:sz w:val="32"/>
          <w:szCs w:val="32"/>
        </w:rPr>
      </w:pPr>
      <w:r>
        <w:rPr>
          <w:rFonts w:hint="eastAsia" w:ascii="黑体" w:hAnsi="黑体" w:eastAsia="黑体" w:cs="黑体"/>
          <w:b/>
          <w:bCs/>
          <w:sz w:val="32"/>
          <w:szCs w:val="32"/>
        </w:rPr>
        <w:t>目  录</w:t>
      </w:r>
    </w:p>
    <w:sdt>
      <w:sdtPr>
        <w:rPr>
          <w:lang w:val="zh-CN"/>
        </w:rPr>
        <w:id w:val="-755370620"/>
        <w:docPartObj>
          <w:docPartGallery w:val="Table of Contents"/>
          <w:docPartUnique/>
        </w:docPartObj>
      </w:sdtPr>
      <w:sdtEndPr>
        <w:rPr>
          <w:b/>
          <w:bCs/>
          <w:lang w:val="zh-CN"/>
        </w:rPr>
      </w:sdtEndPr>
      <w:sdtContent>
        <w:p>
          <w:pPr>
            <w:pStyle w:val="16"/>
            <w:tabs>
              <w:tab w:val="right" w:leader="dot" w:pos="8296"/>
            </w:tabs>
            <w:ind w:firstLine="0" w:firstLineChars="0"/>
            <w:rPr>
              <w:rFonts w:hint="eastAsia" w:asciiTheme="minorHAnsi" w:hAnsiTheme="minorHAnsi" w:eastAsiaTheme="minorEastAsia" w:cstheme="minorBidi"/>
              <w:sz w:val="21"/>
            </w:rPr>
          </w:pPr>
          <w:r>
            <w:rPr>
              <w:rFonts w:asciiTheme="majorHAnsi" w:hAnsiTheme="majorHAnsi" w:eastAsiaTheme="majorEastAsia" w:cstheme="majorBidi"/>
              <w:color w:val="2F5597" w:themeColor="accent1" w:themeShade="BF"/>
              <w:kern w:val="0"/>
              <w:sz w:val="32"/>
              <w:szCs w:val="32"/>
            </w:rPr>
            <w:fldChar w:fldCharType="begin"/>
          </w:r>
          <w:r>
            <w:instrText xml:space="preserve"> TOC \o "1-3" \h \z \u </w:instrText>
          </w:r>
          <w:r>
            <w:rPr>
              <w:rFonts w:asciiTheme="majorHAnsi" w:hAnsiTheme="majorHAnsi" w:eastAsiaTheme="majorEastAsia" w:cstheme="majorBidi"/>
              <w:color w:val="2F5597" w:themeColor="accent1" w:themeShade="BF"/>
              <w:kern w:val="0"/>
              <w:sz w:val="32"/>
              <w:szCs w:val="32"/>
            </w:rPr>
            <w:fldChar w:fldCharType="separate"/>
          </w:r>
          <w:r>
            <w:fldChar w:fldCharType="begin"/>
          </w:r>
          <w:r>
            <w:instrText xml:space="preserve"> HYPERLINK \l "_Toc77601312" </w:instrText>
          </w:r>
          <w:r>
            <w:fldChar w:fldCharType="separate"/>
          </w:r>
          <w:r>
            <w:rPr>
              <w:rStyle w:val="27"/>
              <w:rFonts w:ascii="宋体" w:hAnsi="宋体" w:cs="Times New Roman"/>
              <w:color w:val="000000" w:themeColor="text1"/>
              <w14:textFill>
                <w14:solidFill>
                  <w14:schemeClr w14:val="tx1"/>
                </w14:solidFill>
              </w14:textFill>
            </w:rPr>
            <w:t>前 言</w:t>
          </w:r>
          <w:r>
            <w:rPr>
              <w:rStyle w:val="27"/>
              <w:rFonts w:ascii="宋体" w:hAnsi="宋体" w:cs="Times New Roman"/>
              <w:color w:val="000000" w:themeColor="text1"/>
              <w14:textFill>
                <w14:solidFill>
                  <w14:schemeClr w14:val="tx1"/>
                </w14:solidFill>
              </w14:textFill>
            </w:rPr>
            <w:fldChar w:fldCharType="end"/>
          </w:r>
          <w:r>
            <w:fldChar w:fldCharType="begin"/>
          </w:r>
          <w:r>
            <w:instrText xml:space="preserve"> HYPERLINK \l "_Toc77601313" </w:instrText>
          </w:r>
          <w:r>
            <w:fldChar w:fldCharType="separate"/>
          </w:r>
          <w:r>
            <w:tab/>
          </w:r>
          <w:r>
            <w:t>1</w:t>
          </w:r>
          <w:r>
            <w:fldChar w:fldCharType="end"/>
          </w:r>
        </w:p>
        <w:p>
          <w:pPr>
            <w:pStyle w:val="16"/>
            <w:tabs>
              <w:tab w:val="right" w:leader="dot" w:pos="8296"/>
            </w:tabs>
            <w:ind w:firstLine="0" w:firstLineChars="0"/>
            <w:rPr>
              <w:rFonts w:asciiTheme="minorHAnsi" w:hAnsiTheme="minorHAnsi" w:eastAsiaTheme="minorEastAsia" w:cstheme="minorBidi"/>
              <w:sz w:val="21"/>
            </w:rPr>
          </w:pPr>
          <w:r>
            <w:fldChar w:fldCharType="begin"/>
          </w:r>
          <w:r>
            <w:instrText xml:space="preserve"> HYPERLINK \l "_Toc77601313" </w:instrText>
          </w:r>
          <w:r>
            <w:fldChar w:fldCharType="separate"/>
          </w:r>
          <w:r>
            <w:rPr>
              <w:rStyle w:val="27"/>
            </w:rPr>
            <w:t>第一章  规划基础</w:t>
          </w:r>
          <w:bookmarkStart w:id="3" w:name="OLE_LINK1"/>
          <w:r>
            <w:tab/>
          </w:r>
          <w:bookmarkEnd w:id="3"/>
          <w:r>
            <w:fldChar w:fldCharType="begin"/>
          </w:r>
          <w:r>
            <w:instrText xml:space="preserve"> PAGEREF _Toc77601313 \h </w:instrText>
          </w:r>
          <w:r>
            <w:fldChar w:fldCharType="separate"/>
          </w:r>
          <w:r>
            <w:t>3</w:t>
          </w:r>
          <w:r>
            <w:fldChar w:fldCharType="end"/>
          </w:r>
          <w:r>
            <w:fldChar w:fldCharType="end"/>
          </w:r>
        </w:p>
        <w:p>
          <w:pPr>
            <w:pStyle w:val="19"/>
            <w:tabs>
              <w:tab w:val="right" w:leader="dot" w:pos="8296"/>
            </w:tabs>
            <w:ind w:left="0" w:leftChars="0" w:firstLine="280" w:firstLineChars="100"/>
            <w:rPr>
              <w:rFonts w:asciiTheme="minorHAnsi" w:hAnsiTheme="minorHAnsi" w:eastAsiaTheme="minorEastAsia" w:cstheme="minorBidi"/>
              <w:sz w:val="21"/>
            </w:rPr>
          </w:pPr>
          <w:r>
            <w:fldChar w:fldCharType="begin"/>
          </w:r>
          <w:r>
            <w:instrText xml:space="preserve"> HYPERLINK \l "_Toc77601314" </w:instrText>
          </w:r>
          <w:r>
            <w:fldChar w:fldCharType="separate"/>
          </w:r>
          <w:r>
            <w:rPr>
              <w:rStyle w:val="27"/>
            </w:rPr>
            <w:t>第一节  抚远概况</w:t>
          </w:r>
          <w:r>
            <w:tab/>
          </w:r>
          <w:r>
            <w:fldChar w:fldCharType="begin"/>
          </w:r>
          <w:r>
            <w:instrText xml:space="preserve"> PAGEREF _Toc77601314 \h </w:instrText>
          </w:r>
          <w:r>
            <w:fldChar w:fldCharType="separate"/>
          </w:r>
          <w:r>
            <w:t>3</w:t>
          </w:r>
          <w:r>
            <w:fldChar w:fldCharType="end"/>
          </w:r>
          <w:r>
            <w:fldChar w:fldCharType="end"/>
          </w:r>
        </w:p>
        <w:p>
          <w:pPr>
            <w:pStyle w:val="10"/>
            <w:tabs>
              <w:tab w:val="right" w:leader="dot" w:pos="8296"/>
            </w:tabs>
            <w:ind w:left="398" w:leftChars="142" w:firstLine="198" w:firstLineChars="71"/>
            <w:rPr>
              <w:rFonts w:asciiTheme="minorHAnsi" w:hAnsiTheme="minorHAnsi" w:eastAsiaTheme="minorEastAsia" w:cstheme="minorBidi"/>
              <w:sz w:val="21"/>
            </w:rPr>
          </w:pPr>
          <w:r>
            <w:fldChar w:fldCharType="begin"/>
          </w:r>
          <w:r>
            <w:instrText xml:space="preserve"> HYPERLINK \l "_Toc77601315" </w:instrText>
          </w:r>
          <w:r>
            <w:fldChar w:fldCharType="separate"/>
          </w:r>
          <w:r>
            <w:rPr>
              <w:rStyle w:val="27"/>
            </w:rPr>
            <w:t>一、区域概况</w:t>
          </w:r>
          <w:r>
            <w:tab/>
          </w:r>
          <w:r>
            <w:fldChar w:fldCharType="begin"/>
          </w:r>
          <w:r>
            <w:instrText xml:space="preserve"> PAGEREF _Toc77601315 \h </w:instrText>
          </w:r>
          <w:r>
            <w:fldChar w:fldCharType="separate"/>
          </w:r>
          <w:r>
            <w:t>3</w:t>
          </w:r>
          <w:r>
            <w:fldChar w:fldCharType="end"/>
          </w:r>
          <w:r>
            <w:fldChar w:fldCharType="end"/>
          </w:r>
        </w:p>
        <w:p>
          <w:pPr>
            <w:pStyle w:val="10"/>
            <w:tabs>
              <w:tab w:val="right" w:leader="dot" w:pos="8296"/>
            </w:tabs>
            <w:ind w:left="398" w:leftChars="142" w:firstLine="198" w:firstLineChars="71"/>
            <w:rPr>
              <w:rFonts w:asciiTheme="minorHAnsi" w:hAnsiTheme="minorHAnsi" w:eastAsiaTheme="minorEastAsia" w:cstheme="minorBidi"/>
              <w:sz w:val="21"/>
            </w:rPr>
          </w:pPr>
          <w:r>
            <w:fldChar w:fldCharType="begin"/>
          </w:r>
          <w:r>
            <w:instrText xml:space="preserve"> HYPERLINK \l "_Toc77601320" </w:instrText>
          </w:r>
          <w:r>
            <w:fldChar w:fldCharType="separate"/>
          </w:r>
          <w:r>
            <w:rPr>
              <w:rStyle w:val="27"/>
            </w:rPr>
            <w:t>二、生态环境保护工作成效</w:t>
          </w:r>
          <w:r>
            <w:tab/>
          </w:r>
          <w:r>
            <w:fldChar w:fldCharType="begin"/>
          </w:r>
          <w:r>
            <w:instrText xml:space="preserve"> PAGEREF _Toc77601320 \h </w:instrText>
          </w:r>
          <w:r>
            <w:fldChar w:fldCharType="separate"/>
          </w:r>
          <w:r>
            <w:t>8</w:t>
          </w:r>
          <w:r>
            <w:fldChar w:fldCharType="end"/>
          </w:r>
          <w:r>
            <w:fldChar w:fldCharType="end"/>
          </w:r>
        </w:p>
        <w:p>
          <w:pPr>
            <w:pStyle w:val="19"/>
            <w:tabs>
              <w:tab w:val="right" w:leader="dot" w:pos="8296"/>
            </w:tabs>
            <w:ind w:left="0" w:leftChars="0" w:firstLine="280" w:firstLineChars="100"/>
            <w:rPr>
              <w:rFonts w:asciiTheme="minorHAnsi" w:hAnsiTheme="minorHAnsi" w:eastAsiaTheme="minorEastAsia" w:cstheme="minorBidi"/>
              <w:sz w:val="21"/>
            </w:rPr>
          </w:pPr>
          <w:r>
            <w:fldChar w:fldCharType="begin"/>
          </w:r>
          <w:r>
            <w:instrText xml:space="preserve"> HYPERLINK \l "_Toc77601321" </w:instrText>
          </w:r>
          <w:r>
            <w:fldChar w:fldCharType="separate"/>
          </w:r>
          <w:r>
            <w:rPr>
              <w:rStyle w:val="27"/>
            </w:rPr>
            <w:t>第二节  挑战与机遇</w:t>
          </w:r>
          <w:r>
            <w:tab/>
          </w:r>
          <w:r>
            <w:fldChar w:fldCharType="begin"/>
          </w:r>
          <w:r>
            <w:instrText xml:space="preserve"> PAGEREF _Toc77601321 \h </w:instrText>
          </w:r>
          <w:r>
            <w:fldChar w:fldCharType="separate"/>
          </w:r>
          <w:r>
            <w:t>9</w:t>
          </w:r>
          <w:r>
            <w:fldChar w:fldCharType="end"/>
          </w:r>
          <w:r>
            <w:fldChar w:fldCharType="end"/>
          </w:r>
        </w:p>
        <w:p>
          <w:pPr>
            <w:pStyle w:val="10"/>
            <w:tabs>
              <w:tab w:val="right" w:leader="dot" w:pos="8296"/>
            </w:tabs>
            <w:ind w:left="398" w:leftChars="142" w:firstLine="198" w:firstLineChars="71"/>
            <w:rPr>
              <w:rFonts w:asciiTheme="minorHAnsi" w:hAnsiTheme="minorHAnsi" w:eastAsiaTheme="minorEastAsia" w:cstheme="minorBidi"/>
              <w:sz w:val="21"/>
            </w:rPr>
          </w:pPr>
          <w:r>
            <w:fldChar w:fldCharType="begin"/>
          </w:r>
          <w:r>
            <w:instrText xml:space="preserve"> HYPERLINK \l "_Toc77601322" </w:instrText>
          </w:r>
          <w:r>
            <w:fldChar w:fldCharType="separate"/>
          </w:r>
          <w:r>
            <w:rPr>
              <w:rStyle w:val="27"/>
            </w:rPr>
            <w:t>一、问题与挑战</w:t>
          </w:r>
          <w:r>
            <w:tab/>
          </w:r>
          <w:r>
            <w:fldChar w:fldCharType="begin"/>
          </w:r>
          <w:r>
            <w:instrText xml:space="preserve"> PAGEREF _Toc77601322 \h </w:instrText>
          </w:r>
          <w:r>
            <w:fldChar w:fldCharType="separate"/>
          </w:r>
          <w:r>
            <w:t>9</w:t>
          </w:r>
          <w:r>
            <w:fldChar w:fldCharType="end"/>
          </w:r>
          <w:r>
            <w:fldChar w:fldCharType="end"/>
          </w:r>
        </w:p>
        <w:p>
          <w:pPr>
            <w:pStyle w:val="10"/>
            <w:tabs>
              <w:tab w:val="right" w:leader="dot" w:pos="8296"/>
            </w:tabs>
            <w:ind w:left="398" w:leftChars="142" w:firstLine="198" w:firstLineChars="71"/>
            <w:rPr>
              <w:rFonts w:asciiTheme="minorHAnsi" w:hAnsiTheme="minorHAnsi" w:eastAsiaTheme="minorEastAsia" w:cstheme="minorBidi"/>
              <w:sz w:val="21"/>
            </w:rPr>
          </w:pPr>
          <w:r>
            <w:fldChar w:fldCharType="begin"/>
          </w:r>
          <w:r>
            <w:instrText xml:space="preserve"> HYPERLINK \l "_Toc77601332" </w:instrText>
          </w:r>
          <w:r>
            <w:fldChar w:fldCharType="separate"/>
          </w:r>
          <w:r>
            <w:rPr>
              <w:rStyle w:val="27"/>
            </w:rPr>
            <w:t>二、优势与机遇</w:t>
          </w:r>
          <w:r>
            <w:tab/>
          </w:r>
          <w:r>
            <w:fldChar w:fldCharType="begin"/>
          </w:r>
          <w:r>
            <w:instrText xml:space="preserve"> PAGEREF _Toc77601332 \h </w:instrText>
          </w:r>
          <w:r>
            <w:fldChar w:fldCharType="separate"/>
          </w:r>
          <w:r>
            <w:t>14</w:t>
          </w:r>
          <w:r>
            <w:fldChar w:fldCharType="end"/>
          </w:r>
          <w:r>
            <w:fldChar w:fldCharType="end"/>
          </w:r>
        </w:p>
        <w:p>
          <w:pPr>
            <w:pStyle w:val="16"/>
            <w:tabs>
              <w:tab w:val="right" w:leader="dot" w:pos="8296"/>
            </w:tabs>
            <w:ind w:firstLine="0" w:firstLineChars="0"/>
            <w:rPr>
              <w:rFonts w:asciiTheme="minorHAnsi" w:hAnsiTheme="minorHAnsi" w:eastAsiaTheme="minorEastAsia" w:cstheme="minorBidi"/>
              <w:sz w:val="21"/>
            </w:rPr>
          </w:pPr>
          <w:r>
            <w:fldChar w:fldCharType="begin"/>
          </w:r>
          <w:r>
            <w:instrText xml:space="preserve"> HYPERLINK \l "_Toc77601343" </w:instrText>
          </w:r>
          <w:r>
            <w:fldChar w:fldCharType="separate"/>
          </w:r>
          <w:r>
            <w:rPr>
              <w:rStyle w:val="27"/>
            </w:rPr>
            <w:t>第二章  规划总则</w:t>
          </w:r>
          <w:r>
            <w:tab/>
          </w:r>
          <w:r>
            <w:fldChar w:fldCharType="begin"/>
          </w:r>
          <w:r>
            <w:instrText xml:space="preserve"> PAGEREF _Toc77601343 \h </w:instrText>
          </w:r>
          <w:r>
            <w:fldChar w:fldCharType="separate"/>
          </w:r>
          <w:r>
            <w:t>21</w:t>
          </w:r>
          <w:r>
            <w:fldChar w:fldCharType="end"/>
          </w:r>
          <w:r>
            <w:fldChar w:fldCharType="end"/>
          </w:r>
        </w:p>
        <w:p>
          <w:pPr>
            <w:pStyle w:val="16"/>
            <w:tabs>
              <w:tab w:val="right" w:leader="dot" w:pos="8296"/>
            </w:tabs>
            <w:ind w:firstLine="280" w:firstLineChars="100"/>
            <w:rPr>
              <w:rFonts w:asciiTheme="minorHAnsi" w:hAnsiTheme="minorHAnsi" w:eastAsiaTheme="minorEastAsia" w:cstheme="minorBidi"/>
              <w:sz w:val="21"/>
            </w:rPr>
          </w:pPr>
          <w:r>
            <w:fldChar w:fldCharType="begin"/>
          </w:r>
          <w:r>
            <w:instrText xml:space="preserve"> HYPERLINK \l "_Toc77601344" </w:instrText>
          </w:r>
          <w:r>
            <w:fldChar w:fldCharType="separate"/>
          </w:r>
          <w:r>
            <w:rPr>
              <w:rStyle w:val="27"/>
            </w:rPr>
            <w:t>第一节  指导思想</w:t>
          </w:r>
          <w:r>
            <w:tab/>
          </w:r>
          <w:r>
            <w:fldChar w:fldCharType="begin"/>
          </w:r>
          <w:r>
            <w:instrText xml:space="preserve"> PAGEREF _Toc77601344 \h </w:instrText>
          </w:r>
          <w:r>
            <w:fldChar w:fldCharType="separate"/>
          </w:r>
          <w:r>
            <w:t>21</w:t>
          </w:r>
          <w:r>
            <w:fldChar w:fldCharType="end"/>
          </w:r>
          <w:r>
            <w:fldChar w:fldCharType="end"/>
          </w:r>
        </w:p>
        <w:p>
          <w:pPr>
            <w:pStyle w:val="16"/>
            <w:tabs>
              <w:tab w:val="right" w:leader="dot" w:pos="8296"/>
            </w:tabs>
            <w:ind w:firstLine="280" w:firstLineChars="100"/>
            <w:rPr>
              <w:rFonts w:asciiTheme="minorHAnsi" w:hAnsiTheme="minorHAnsi" w:eastAsiaTheme="minorEastAsia" w:cstheme="minorBidi"/>
              <w:sz w:val="21"/>
            </w:rPr>
          </w:pPr>
          <w:r>
            <w:fldChar w:fldCharType="begin"/>
          </w:r>
          <w:r>
            <w:instrText xml:space="preserve"> HYPERLINK \l "_Toc77601345" </w:instrText>
          </w:r>
          <w:r>
            <w:fldChar w:fldCharType="separate"/>
          </w:r>
          <w:r>
            <w:rPr>
              <w:rStyle w:val="27"/>
            </w:rPr>
            <w:t>第二节  规划原则</w:t>
          </w:r>
          <w:r>
            <w:tab/>
          </w:r>
          <w:r>
            <w:fldChar w:fldCharType="begin"/>
          </w:r>
          <w:r>
            <w:instrText xml:space="preserve"> PAGEREF _Toc77601345 \h </w:instrText>
          </w:r>
          <w:r>
            <w:fldChar w:fldCharType="separate"/>
          </w:r>
          <w:r>
            <w:t>21</w:t>
          </w:r>
          <w:r>
            <w:fldChar w:fldCharType="end"/>
          </w:r>
          <w:r>
            <w:fldChar w:fldCharType="end"/>
          </w:r>
        </w:p>
        <w:p>
          <w:pPr>
            <w:pStyle w:val="10"/>
            <w:tabs>
              <w:tab w:val="right" w:leader="dot" w:pos="8296"/>
            </w:tabs>
            <w:ind w:left="398" w:leftChars="142" w:firstLine="198" w:firstLineChars="71"/>
            <w:rPr>
              <w:rFonts w:asciiTheme="minorHAnsi" w:hAnsiTheme="minorHAnsi" w:eastAsiaTheme="minorEastAsia" w:cstheme="minorBidi"/>
              <w:sz w:val="21"/>
            </w:rPr>
          </w:pPr>
          <w:r>
            <w:fldChar w:fldCharType="begin"/>
          </w:r>
          <w:r>
            <w:instrText xml:space="preserve"> HYPERLINK \l "_Toc77601346" </w:instrText>
          </w:r>
          <w:r>
            <w:fldChar w:fldCharType="separate"/>
          </w:r>
          <w:r>
            <w:rPr>
              <w:rStyle w:val="27"/>
            </w:rPr>
            <w:t>1 科学性原则</w:t>
          </w:r>
          <w:r>
            <w:tab/>
          </w:r>
          <w:r>
            <w:fldChar w:fldCharType="begin"/>
          </w:r>
          <w:r>
            <w:instrText xml:space="preserve"> PAGEREF _Toc77601346 \h </w:instrText>
          </w:r>
          <w:r>
            <w:fldChar w:fldCharType="separate"/>
          </w:r>
          <w:r>
            <w:t>21</w:t>
          </w:r>
          <w:r>
            <w:fldChar w:fldCharType="end"/>
          </w:r>
          <w:r>
            <w:fldChar w:fldCharType="end"/>
          </w:r>
        </w:p>
        <w:p>
          <w:pPr>
            <w:pStyle w:val="10"/>
            <w:tabs>
              <w:tab w:val="right" w:leader="dot" w:pos="8296"/>
            </w:tabs>
            <w:ind w:left="398" w:leftChars="142" w:firstLine="198" w:firstLineChars="71"/>
            <w:rPr>
              <w:rFonts w:asciiTheme="minorHAnsi" w:hAnsiTheme="minorHAnsi" w:eastAsiaTheme="minorEastAsia" w:cstheme="minorBidi"/>
              <w:sz w:val="21"/>
            </w:rPr>
          </w:pPr>
          <w:r>
            <w:fldChar w:fldCharType="begin"/>
          </w:r>
          <w:r>
            <w:instrText xml:space="preserve"> HYPERLINK \l "_Toc77601347" </w:instrText>
          </w:r>
          <w:r>
            <w:fldChar w:fldCharType="separate"/>
          </w:r>
          <w:r>
            <w:rPr>
              <w:rStyle w:val="27"/>
            </w:rPr>
            <w:t>2 可操作性原则</w:t>
          </w:r>
          <w:r>
            <w:tab/>
          </w:r>
          <w:r>
            <w:fldChar w:fldCharType="begin"/>
          </w:r>
          <w:r>
            <w:instrText xml:space="preserve"> PAGEREF _Toc77601347 \h </w:instrText>
          </w:r>
          <w:r>
            <w:fldChar w:fldCharType="separate"/>
          </w:r>
          <w:r>
            <w:t>22</w:t>
          </w:r>
          <w:r>
            <w:fldChar w:fldCharType="end"/>
          </w:r>
          <w:r>
            <w:fldChar w:fldCharType="end"/>
          </w:r>
        </w:p>
        <w:p>
          <w:pPr>
            <w:pStyle w:val="10"/>
            <w:tabs>
              <w:tab w:val="right" w:leader="dot" w:pos="8296"/>
            </w:tabs>
            <w:ind w:left="398" w:leftChars="142" w:firstLine="198" w:firstLineChars="71"/>
            <w:rPr>
              <w:rFonts w:asciiTheme="minorHAnsi" w:hAnsiTheme="minorHAnsi" w:eastAsiaTheme="minorEastAsia" w:cstheme="minorBidi"/>
              <w:sz w:val="21"/>
            </w:rPr>
          </w:pPr>
          <w:r>
            <w:fldChar w:fldCharType="begin"/>
          </w:r>
          <w:r>
            <w:instrText xml:space="preserve"> HYPERLINK \l "_Toc77601348" </w:instrText>
          </w:r>
          <w:r>
            <w:fldChar w:fldCharType="separate"/>
          </w:r>
          <w:r>
            <w:rPr>
              <w:rStyle w:val="27"/>
            </w:rPr>
            <w:t>3 前瞻性原则</w:t>
          </w:r>
          <w:r>
            <w:tab/>
          </w:r>
          <w:r>
            <w:fldChar w:fldCharType="begin"/>
          </w:r>
          <w:r>
            <w:instrText xml:space="preserve"> PAGEREF _Toc77601348 \h </w:instrText>
          </w:r>
          <w:r>
            <w:fldChar w:fldCharType="separate"/>
          </w:r>
          <w:r>
            <w:t>22</w:t>
          </w:r>
          <w:r>
            <w:fldChar w:fldCharType="end"/>
          </w:r>
          <w:r>
            <w:fldChar w:fldCharType="end"/>
          </w:r>
        </w:p>
        <w:p>
          <w:pPr>
            <w:pStyle w:val="19"/>
            <w:tabs>
              <w:tab w:val="right" w:leader="dot" w:pos="8296"/>
            </w:tabs>
            <w:ind w:left="0" w:leftChars="0" w:firstLine="280" w:firstLineChars="100"/>
            <w:rPr>
              <w:rFonts w:asciiTheme="minorHAnsi" w:hAnsiTheme="minorHAnsi" w:eastAsiaTheme="minorEastAsia" w:cstheme="minorBidi"/>
              <w:sz w:val="21"/>
            </w:rPr>
          </w:pPr>
          <w:r>
            <w:fldChar w:fldCharType="begin"/>
          </w:r>
          <w:r>
            <w:instrText xml:space="preserve"> HYPERLINK \l "_Toc77601349" </w:instrText>
          </w:r>
          <w:r>
            <w:fldChar w:fldCharType="separate"/>
          </w:r>
          <w:r>
            <w:rPr>
              <w:rStyle w:val="27"/>
            </w:rPr>
            <w:t>第三节  规划范围与依据</w:t>
          </w:r>
          <w:r>
            <w:tab/>
          </w:r>
          <w:r>
            <w:fldChar w:fldCharType="begin"/>
          </w:r>
          <w:r>
            <w:instrText xml:space="preserve"> PAGEREF _Toc77601349 \h </w:instrText>
          </w:r>
          <w:r>
            <w:fldChar w:fldCharType="separate"/>
          </w:r>
          <w:r>
            <w:t>22</w:t>
          </w:r>
          <w:r>
            <w:fldChar w:fldCharType="end"/>
          </w:r>
          <w:r>
            <w:fldChar w:fldCharType="end"/>
          </w:r>
        </w:p>
        <w:p>
          <w:pPr>
            <w:pStyle w:val="10"/>
            <w:tabs>
              <w:tab w:val="right" w:leader="dot" w:pos="8296"/>
            </w:tabs>
            <w:ind w:left="398" w:leftChars="142" w:firstLine="198" w:firstLineChars="71"/>
            <w:rPr>
              <w:rFonts w:asciiTheme="minorHAnsi" w:hAnsiTheme="minorHAnsi" w:eastAsiaTheme="minorEastAsia" w:cstheme="minorBidi"/>
              <w:sz w:val="21"/>
            </w:rPr>
          </w:pPr>
          <w:r>
            <w:fldChar w:fldCharType="begin"/>
          </w:r>
          <w:r>
            <w:instrText xml:space="preserve"> HYPERLINK \l "_Toc77601350" </w:instrText>
          </w:r>
          <w:r>
            <w:fldChar w:fldCharType="separate"/>
          </w:r>
          <w:r>
            <w:rPr>
              <w:rStyle w:val="27"/>
            </w:rPr>
            <w:t>1 规划范围</w:t>
          </w:r>
          <w:r>
            <w:tab/>
          </w:r>
          <w:r>
            <w:fldChar w:fldCharType="begin"/>
          </w:r>
          <w:r>
            <w:instrText xml:space="preserve"> PAGEREF _Toc77601350 \h </w:instrText>
          </w:r>
          <w:r>
            <w:fldChar w:fldCharType="separate"/>
          </w:r>
          <w:r>
            <w:t>22</w:t>
          </w:r>
          <w:r>
            <w:fldChar w:fldCharType="end"/>
          </w:r>
          <w:r>
            <w:fldChar w:fldCharType="end"/>
          </w:r>
        </w:p>
        <w:p>
          <w:pPr>
            <w:pStyle w:val="10"/>
            <w:tabs>
              <w:tab w:val="right" w:leader="dot" w:pos="8296"/>
            </w:tabs>
            <w:ind w:left="398" w:leftChars="142" w:firstLine="198" w:firstLineChars="71"/>
            <w:rPr>
              <w:rFonts w:asciiTheme="minorHAnsi" w:hAnsiTheme="minorHAnsi" w:eastAsiaTheme="minorEastAsia" w:cstheme="minorBidi"/>
              <w:sz w:val="21"/>
            </w:rPr>
          </w:pPr>
          <w:r>
            <w:fldChar w:fldCharType="begin"/>
          </w:r>
          <w:r>
            <w:instrText xml:space="preserve"> HYPERLINK \l "_Toc77601351" </w:instrText>
          </w:r>
          <w:r>
            <w:fldChar w:fldCharType="separate"/>
          </w:r>
          <w:r>
            <w:rPr>
              <w:rStyle w:val="27"/>
            </w:rPr>
            <w:t>2 规划期限</w:t>
          </w:r>
          <w:r>
            <w:tab/>
          </w:r>
          <w:r>
            <w:fldChar w:fldCharType="begin"/>
          </w:r>
          <w:r>
            <w:instrText xml:space="preserve"> PAGEREF _Toc77601351 \h </w:instrText>
          </w:r>
          <w:r>
            <w:fldChar w:fldCharType="separate"/>
          </w:r>
          <w:r>
            <w:t>23</w:t>
          </w:r>
          <w:r>
            <w:fldChar w:fldCharType="end"/>
          </w:r>
          <w:r>
            <w:fldChar w:fldCharType="end"/>
          </w:r>
        </w:p>
        <w:p>
          <w:pPr>
            <w:pStyle w:val="10"/>
            <w:tabs>
              <w:tab w:val="right" w:leader="dot" w:pos="8296"/>
            </w:tabs>
            <w:ind w:left="398" w:leftChars="142" w:firstLine="198" w:firstLineChars="71"/>
            <w:rPr>
              <w:rFonts w:asciiTheme="minorHAnsi" w:hAnsiTheme="minorHAnsi" w:eastAsiaTheme="minorEastAsia" w:cstheme="minorBidi"/>
              <w:sz w:val="21"/>
            </w:rPr>
          </w:pPr>
          <w:r>
            <w:fldChar w:fldCharType="begin"/>
          </w:r>
          <w:r>
            <w:instrText xml:space="preserve"> HYPERLINK \l "_Toc77601352" </w:instrText>
          </w:r>
          <w:r>
            <w:fldChar w:fldCharType="separate"/>
          </w:r>
          <w:r>
            <w:rPr>
              <w:rStyle w:val="27"/>
            </w:rPr>
            <w:t>3 规划依据</w:t>
          </w:r>
          <w:r>
            <w:tab/>
          </w:r>
          <w:r>
            <w:fldChar w:fldCharType="begin"/>
          </w:r>
          <w:r>
            <w:instrText xml:space="preserve"> PAGEREF _Toc77601352 \h </w:instrText>
          </w:r>
          <w:r>
            <w:fldChar w:fldCharType="separate"/>
          </w:r>
          <w:r>
            <w:t>23</w:t>
          </w:r>
          <w:r>
            <w:fldChar w:fldCharType="end"/>
          </w:r>
          <w:r>
            <w:fldChar w:fldCharType="end"/>
          </w:r>
        </w:p>
        <w:p>
          <w:pPr>
            <w:pStyle w:val="10"/>
            <w:tabs>
              <w:tab w:val="right" w:leader="dot" w:pos="8296"/>
            </w:tabs>
            <w:ind w:left="398" w:leftChars="142" w:firstLine="198" w:firstLineChars="71"/>
            <w:rPr>
              <w:rStyle w:val="27"/>
            </w:rPr>
          </w:pPr>
          <w:r>
            <w:fldChar w:fldCharType="begin"/>
          </w:r>
          <w:r>
            <w:instrText xml:space="preserve"> HYPERLINK \l "_Toc77601355" </w:instrText>
          </w:r>
          <w:r>
            <w:fldChar w:fldCharType="separate"/>
          </w:r>
          <w:r>
            <w:rPr>
              <w:rStyle w:val="27"/>
            </w:rPr>
            <w:t>4 规划编制技术线图</w:t>
          </w:r>
          <w:r>
            <w:rPr>
              <w:rStyle w:val="27"/>
            </w:rPr>
            <w:tab/>
          </w:r>
          <w:r>
            <w:rPr>
              <w:rStyle w:val="27"/>
            </w:rPr>
            <w:fldChar w:fldCharType="begin"/>
          </w:r>
          <w:r>
            <w:rPr>
              <w:rStyle w:val="27"/>
            </w:rPr>
            <w:instrText xml:space="preserve"> PAGEREF _Toc77601355 \h </w:instrText>
          </w:r>
          <w:r>
            <w:rPr>
              <w:rStyle w:val="27"/>
            </w:rPr>
            <w:fldChar w:fldCharType="separate"/>
          </w:r>
          <w:r>
            <w:rPr>
              <w:rStyle w:val="27"/>
            </w:rPr>
            <w:t>26</w:t>
          </w:r>
          <w:r>
            <w:rPr>
              <w:rStyle w:val="27"/>
            </w:rPr>
            <w:fldChar w:fldCharType="end"/>
          </w:r>
          <w:r>
            <w:rPr>
              <w:rStyle w:val="27"/>
            </w:rPr>
            <w:fldChar w:fldCharType="end"/>
          </w:r>
        </w:p>
        <w:p>
          <w:pPr>
            <w:pStyle w:val="19"/>
            <w:tabs>
              <w:tab w:val="right" w:leader="dot" w:pos="8296"/>
            </w:tabs>
            <w:ind w:left="0" w:leftChars="0" w:firstLine="280" w:firstLineChars="100"/>
            <w:rPr>
              <w:rFonts w:asciiTheme="minorHAnsi" w:hAnsiTheme="minorHAnsi" w:eastAsiaTheme="minorEastAsia" w:cstheme="minorBidi"/>
              <w:sz w:val="21"/>
            </w:rPr>
          </w:pPr>
          <w:r>
            <w:fldChar w:fldCharType="begin"/>
          </w:r>
          <w:r>
            <w:instrText xml:space="preserve"> HYPERLINK \l "_Toc77601356" </w:instrText>
          </w:r>
          <w:r>
            <w:fldChar w:fldCharType="separate"/>
          </w:r>
          <w:r>
            <w:rPr>
              <w:rStyle w:val="27"/>
            </w:rPr>
            <w:t>第四节  规划目标与指标</w:t>
          </w:r>
          <w:r>
            <w:tab/>
          </w:r>
          <w:r>
            <w:fldChar w:fldCharType="begin"/>
          </w:r>
          <w:r>
            <w:instrText xml:space="preserve"> PAGEREF _Toc77601356 \h </w:instrText>
          </w:r>
          <w:r>
            <w:fldChar w:fldCharType="separate"/>
          </w:r>
          <w:r>
            <w:t>26</w:t>
          </w:r>
          <w:r>
            <w:fldChar w:fldCharType="end"/>
          </w:r>
          <w:r>
            <w:fldChar w:fldCharType="end"/>
          </w:r>
        </w:p>
        <w:p>
          <w:pPr>
            <w:pStyle w:val="10"/>
            <w:tabs>
              <w:tab w:val="right" w:leader="dot" w:pos="8296"/>
            </w:tabs>
            <w:ind w:left="398" w:leftChars="142" w:firstLine="198" w:firstLineChars="71"/>
            <w:rPr>
              <w:rFonts w:asciiTheme="minorHAnsi" w:hAnsiTheme="minorHAnsi" w:eastAsiaTheme="minorEastAsia" w:cstheme="minorBidi"/>
              <w:sz w:val="21"/>
            </w:rPr>
          </w:pPr>
          <w:r>
            <w:fldChar w:fldCharType="begin"/>
          </w:r>
          <w:r>
            <w:instrText xml:space="preserve"> HYPERLINK \l "_Toc77601357" </w:instrText>
          </w:r>
          <w:r>
            <w:fldChar w:fldCharType="separate"/>
          </w:r>
          <w:r>
            <w:rPr>
              <w:rStyle w:val="27"/>
            </w:rPr>
            <w:t>一、规划目标</w:t>
          </w:r>
          <w:r>
            <w:tab/>
          </w:r>
          <w:r>
            <w:fldChar w:fldCharType="begin"/>
          </w:r>
          <w:r>
            <w:instrText xml:space="preserve"> PAGEREF _Toc77601357 \h </w:instrText>
          </w:r>
          <w:r>
            <w:fldChar w:fldCharType="separate"/>
          </w:r>
          <w:r>
            <w:t>26</w:t>
          </w:r>
          <w:r>
            <w:fldChar w:fldCharType="end"/>
          </w:r>
          <w:r>
            <w:fldChar w:fldCharType="end"/>
          </w:r>
        </w:p>
        <w:p>
          <w:pPr>
            <w:pStyle w:val="10"/>
            <w:tabs>
              <w:tab w:val="right" w:leader="dot" w:pos="8296"/>
            </w:tabs>
            <w:ind w:left="398" w:leftChars="142" w:firstLine="198" w:firstLineChars="71"/>
            <w:rPr>
              <w:rFonts w:asciiTheme="minorHAnsi" w:hAnsiTheme="minorHAnsi" w:eastAsiaTheme="minorEastAsia" w:cstheme="minorBidi"/>
              <w:sz w:val="21"/>
            </w:rPr>
          </w:pPr>
          <w:r>
            <w:fldChar w:fldCharType="begin"/>
          </w:r>
          <w:r>
            <w:instrText xml:space="preserve"> HYPERLINK \l "_Toc77601358" </w:instrText>
          </w:r>
          <w:r>
            <w:fldChar w:fldCharType="separate"/>
          </w:r>
          <w:r>
            <w:rPr>
              <w:rStyle w:val="27"/>
            </w:rPr>
            <w:t>二、规划指标</w:t>
          </w:r>
          <w:r>
            <w:tab/>
          </w:r>
          <w:r>
            <w:fldChar w:fldCharType="begin"/>
          </w:r>
          <w:r>
            <w:instrText xml:space="preserve"> PAGEREF _Toc77601358 \h </w:instrText>
          </w:r>
          <w:r>
            <w:fldChar w:fldCharType="separate"/>
          </w:r>
          <w:r>
            <w:t>27</w:t>
          </w:r>
          <w:r>
            <w:fldChar w:fldCharType="end"/>
          </w:r>
          <w:r>
            <w:fldChar w:fldCharType="end"/>
          </w:r>
        </w:p>
        <w:p>
          <w:pPr>
            <w:pStyle w:val="16"/>
            <w:tabs>
              <w:tab w:val="right" w:leader="dot" w:pos="8296"/>
            </w:tabs>
            <w:ind w:firstLine="0" w:firstLineChars="0"/>
            <w:rPr>
              <w:rFonts w:asciiTheme="minorHAnsi" w:hAnsiTheme="minorHAnsi" w:eastAsiaTheme="minorEastAsia" w:cstheme="minorBidi"/>
              <w:sz w:val="21"/>
            </w:rPr>
          </w:pPr>
          <w:r>
            <w:fldChar w:fldCharType="begin"/>
          </w:r>
          <w:r>
            <w:instrText xml:space="preserve"> HYPERLINK \l "_Toc77601359" </w:instrText>
          </w:r>
          <w:r>
            <w:fldChar w:fldCharType="separate"/>
          </w:r>
          <w:r>
            <w:rPr>
              <w:rStyle w:val="27"/>
            </w:rPr>
            <w:t>第三章  规划任务与措施</w:t>
          </w:r>
          <w:r>
            <w:tab/>
          </w:r>
          <w:r>
            <w:fldChar w:fldCharType="begin"/>
          </w:r>
          <w:r>
            <w:instrText xml:space="preserve"> PAGEREF _Toc77601359 \h </w:instrText>
          </w:r>
          <w:r>
            <w:fldChar w:fldCharType="separate"/>
          </w:r>
          <w:r>
            <w:t>33</w:t>
          </w:r>
          <w:r>
            <w:fldChar w:fldCharType="end"/>
          </w:r>
          <w:r>
            <w:fldChar w:fldCharType="end"/>
          </w:r>
        </w:p>
        <w:p>
          <w:pPr>
            <w:pStyle w:val="19"/>
            <w:tabs>
              <w:tab w:val="right" w:leader="dot" w:pos="8296"/>
            </w:tabs>
            <w:ind w:left="0" w:leftChars="0" w:firstLine="280" w:firstLineChars="100"/>
            <w:rPr>
              <w:rFonts w:asciiTheme="minorHAnsi" w:hAnsiTheme="minorHAnsi" w:eastAsiaTheme="minorEastAsia" w:cstheme="minorBidi"/>
              <w:sz w:val="21"/>
            </w:rPr>
          </w:pPr>
          <w:r>
            <w:fldChar w:fldCharType="begin"/>
          </w:r>
          <w:r>
            <w:instrText xml:space="preserve"> HYPERLINK \l "_Toc77601360" </w:instrText>
          </w:r>
          <w:r>
            <w:fldChar w:fldCharType="separate"/>
          </w:r>
          <w:r>
            <w:rPr>
              <w:rStyle w:val="27"/>
            </w:rPr>
            <w:t>第一节  生态空间体系建设</w:t>
          </w:r>
          <w:r>
            <w:tab/>
          </w:r>
          <w:r>
            <w:fldChar w:fldCharType="begin"/>
          </w:r>
          <w:r>
            <w:instrText xml:space="preserve"> PAGEREF _Toc77601360 \h </w:instrText>
          </w:r>
          <w:r>
            <w:fldChar w:fldCharType="separate"/>
          </w:r>
          <w:r>
            <w:t>33</w:t>
          </w:r>
          <w:r>
            <w:fldChar w:fldCharType="end"/>
          </w:r>
          <w:r>
            <w:fldChar w:fldCharType="end"/>
          </w:r>
        </w:p>
        <w:p>
          <w:pPr>
            <w:pStyle w:val="10"/>
            <w:tabs>
              <w:tab w:val="right" w:leader="dot" w:pos="8296"/>
            </w:tabs>
            <w:ind w:left="0" w:leftChars="0" w:firstLine="560"/>
            <w:rPr>
              <w:rFonts w:asciiTheme="minorHAnsi" w:hAnsiTheme="minorHAnsi" w:eastAsiaTheme="minorEastAsia" w:cstheme="minorBidi"/>
              <w:sz w:val="21"/>
            </w:rPr>
          </w:pPr>
          <w:r>
            <w:fldChar w:fldCharType="begin"/>
          </w:r>
          <w:r>
            <w:instrText xml:space="preserve"> HYPERLINK \l "_Toc77601361" </w:instrText>
          </w:r>
          <w:r>
            <w:fldChar w:fldCharType="separate"/>
          </w:r>
          <w:r>
            <w:rPr>
              <w:rStyle w:val="27"/>
            </w:rPr>
            <w:t>一、生态保护红线</w:t>
          </w:r>
          <w:r>
            <w:tab/>
          </w:r>
          <w:r>
            <w:fldChar w:fldCharType="begin"/>
          </w:r>
          <w:r>
            <w:instrText xml:space="preserve"> PAGEREF _Toc77601361 \h </w:instrText>
          </w:r>
          <w:r>
            <w:fldChar w:fldCharType="separate"/>
          </w:r>
          <w:r>
            <w:t>33</w:t>
          </w:r>
          <w:r>
            <w:fldChar w:fldCharType="end"/>
          </w:r>
          <w:r>
            <w:fldChar w:fldCharType="end"/>
          </w:r>
        </w:p>
        <w:p>
          <w:pPr>
            <w:pStyle w:val="10"/>
            <w:tabs>
              <w:tab w:val="right" w:leader="dot" w:pos="8296"/>
            </w:tabs>
            <w:ind w:left="0" w:leftChars="0" w:firstLine="560"/>
            <w:rPr>
              <w:rFonts w:asciiTheme="minorHAnsi" w:hAnsiTheme="minorHAnsi" w:eastAsiaTheme="minorEastAsia" w:cstheme="minorBidi"/>
              <w:sz w:val="21"/>
            </w:rPr>
          </w:pPr>
          <w:r>
            <w:fldChar w:fldCharType="begin"/>
          </w:r>
          <w:r>
            <w:instrText xml:space="preserve"> HYPERLINK \l "_Toc77601362" </w:instrText>
          </w:r>
          <w:r>
            <w:fldChar w:fldCharType="separate"/>
          </w:r>
          <w:r>
            <w:rPr>
              <w:rStyle w:val="27"/>
            </w:rPr>
            <w:t>二、自然保护地体系改善措施</w:t>
          </w:r>
          <w:r>
            <w:tab/>
          </w:r>
          <w:r>
            <w:fldChar w:fldCharType="begin"/>
          </w:r>
          <w:r>
            <w:instrText xml:space="preserve"> PAGEREF _Toc77601362 \h </w:instrText>
          </w:r>
          <w:r>
            <w:fldChar w:fldCharType="separate"/>
          </w:r>
          <w:r>
            <w:t>33</w:t>
          </w:r>
          <w:r>
            <w:fldChar w:fldCharType="end"/>
          </w:r>
          <w:r>
            <w:fldChar w:fldCharType="end"/>
          </w:r>
        </w:p>
        <w:p>
          <w:pPr>
            <w:pStyle w:val="10"/>
            <w:tabs>
              <w:tab w:val="right" w:leader="dot" w:pos="8296"/>
            </w:tabs>
            <w:ind w:left="0" w:leftChars="0" w:firstLine="560"/>
            <w:rPr>
              <w:rFonts w:asciiTheme="minorHAnsi" w:hAnsiTheme="minorHAnsi" w:eastAsiaTheme="minorEastAsia" w:cstheme="minorBidi"/>
              <w:sz w:val="21"/>
            </w:rPr>
          </w:pPr>
          <w:r>
            <w:fldChar w:fldCharType="begin"/>
          </w:r>
          <w:r>
            <w:instrText xml:space="preserve"> HYPERLINK \l "_Toc77601368" </w:instrText>
          </w:r>
          <w:r>
            <w:fldChar w:fldCharType="separate"/>
          </w:r>
          <w:r>
            <w:rPr>
              <w:rStyle w:val="27"/>
            </w:rPr>
            <w:t>三、河湖岸线保护与修复</w:t>
          </w:r>
          <w:r>
            <w:tab/>
          </w:r>
          <w:r>
            <w:fldChar w:fldCharType="begin"/>
          </w:r>
          <w:r>
            <w:instrText xml:space="preserve"> PAGEREF _Toc77601368 \h </w:instrText>
          </w:r>
          <w:r>
            <w:fldChar w:fldCharType="separate"/>
          </w:r>
          <w:r>
            <w:t>35</w:t>
          </w:r>
          <w:r>
            <w:fldChar w:fldCharType="end"/>
          </w:r>
          <w:r>
            <w:fldChar w:fldCharType="end"/>
          </w:r>
        </w:p>
        <w:p>
          <w:pPr>
            <w:pStyle w:val="10"/>
            <w:tabs>
              <w:tab w:val="right" w:leader="dot" w:pos="8296"/>
            </w:tabs>
            <w:ind w:left="0" w:leftChars="0" w:firstLine="560"/>
            <w:rPr>
              <w:rFonts w:asciiTheme="minorHAnsi" w:hAnsiTheme="minorHAnsi" w:eastAsiaTheme="minorEastAsia" w:cstheme="minorBidi"/>
              <w:sz w:val="21"/>
            </w:rPr>
          </w:pPr>
          <w:r>
            <w:fldChar w:fldCharType="begin"/>
          </w:r>
          <w:r>
            <w:instrText xml:space="preserve"> HYPERLINK \l "_Toc77601373" </w:instrText>
          </w:r>
          <w:r>
            <w:fldChar w:fldCharType="separate"/>
          </w:r>
          <w:r>
            <w:rPr>
              <w:rStyle w:val="27"/>
            </w:rPr>
            <w:t>四、自然岸线保护与修复</w:t>
          </w:r>
          <w:r>
            <w:tab/>
          </w:r>
          <w:r>
            <w:fldChar w:fldCharType="begin"/>
          </w:r>
          <w:r>
            <w:instrText xml:space="preserve"> PAGEREF _Toc77601373 \h </w:instrText>
          </w:r>
          <w:r>
            <w:fldChar w:fldCharType="separate"/>
          </w:r>
          <w:r>
            <w:t>36</w:t>
          </w:r>
          <w:r>
            <w:fldChar w:fldCharType="end"/>
          </w:r>
          <w:r>
            <w:fldChar w:fldCharType="end"/>
          </w:r>
        </w:p>
        <w:p>
          <w:pPr>
            <w:pStyle w:val="19"/>
            <w:tabs>
              <w:tab w:val="right" w:leader="dot" w:pos="8296"/>
            </w:tabs>
            <w:ind w:left="0" w:leftChars="0" w:firstLine="280" w:firstLineChars="100"/>
            <w:rPr>
              <w:rFonts w:asciiTheme="minorHAnsi" w:hAnsiTheme="minorHAnsi" w:eastAsiaTheme="minorEastAsia" w:cstheme="minorBidi"/>
              <w:sz w:val="21"/>
            </w:rPr>
          </w:pPr>
          <w:r>
            <w:fldChar w:fldCharType="begin"/>
          </w:r>
          <w:r>
            <w:instrText xml:space="preserve"> HYPERLINK \l "_Toc77601378" </w:instrText>
          </w:r>
          <w:r>
            <w:fldChar w:fldCharType="separate"/>
          </w:r>
          <w:r>
            <w:rPr>
              <w:rStyle w:val="27"/>
            </w:rPr>
            <w:t>第二节  生态经济体系建设</w:t>
          </w:r>
          <w:r>
            <w:tab/>
          </w:r>
          <w:r>
            <w:fldChar w:fldCharType="begin"/>
          </w:r>
          <w:r>
            <w:instrText xml:space="preserve"> PAGEREF _Toc77601378 \h </w:instrText>
          </w:r>
          <w:r>
            <w:fldChar w:fldCharType="separate"/>
          </w:r>
          <w:r>
            <w:t>37</w:t>
          </w:r>
          <w:r>
            <w:fldChar w:fldCharType="end"/>
          </w:r>
          <w:r>
            <w:fldChar w:fldCharType="end"/>
          </w:r>
        </w:p>
        <w:p>
          <w:pPr>
            <w:pStyle w:val="10"/>
            <w:tabs>
              <w:tab w:val="right" w:leader="dot" w:pos="8296"/>
            </w:tabs>
            <w:ind w:left="398" w:leftChars="142" w:firstLine="198" w:firstLineChars="71"/>
            <w:rPr>
              <w:rFonts w:asciiTheme="minorHAnsi" w:hAnsiTheme="minorHAnsi" w:eastAsiaTheme="minorEastAsia" w:cstheme="minorBidi"/>
              <w:sz w:val="21"/>
            </w:rPr>
          </w:pPr>
          <w:r>
            <w:fldChar w:fldCharType="begin"/>
          </w:r>
          <w:r>
            <w:instrText xml:space="preserve"> HYPERLINK \l "_Toc77601379" </w:instrText>
          </w:r>
          <w:r>
            <w:fldChar w:fldCharType="separate"/>
          </w:r>
          <w:r>
            <w:rPr>
              <w:rStyle w:val="27"/>
            </w:rPr>
            <w:t>一、生态产业发展</w:t>
          </w:r>
          <w:r>
            <w:tab/>
          </w:r>
          <w:r>
            <w:fldChar w:fldCharType="begin"/>
          </w:r>
          <w:r>
            <w:instrText xml:space="preserve"> PAGEREF _Toc77601379 \h </w:instrText>
          </w:r>
          <w:r>
            <w:fldChar w:fldCharType="separate"/>
          </w:r>
          <w:r>
            <w:t>37</w:t>
          </w:r>
          <w:r>
            <w:fldChar w:fldCharType="end"/>
          </w:r>
          <w:r>
            <w:fldChar w:fldCharType="end"/>
          </w:r>
        </w:p>
        <w:p>
          <w:pPr>
            <w:pStyle w:val="10"/>
            <w:tabs>
              <w:tab w:val="right" w:leader="dot" w:pos="8296"/>
            </w:tabs>
            <w:ind w:left="398" w:leftChars="142" w:firstLine="198" w:firstLineChars="71"/>
            <w:rPr>
              <w:rFonts w:asciiTheme="minorHAnsi" w:hAnsiTheme="minorHAnsi" w:eastAsiaTheme="minorEastAsia" w:cstheme="minorBidi"/>
              <w:sz w:val="21"/>
            </w:rPr>
          </w:pPr>
          <w:r>
            <w:fldChar w:fldCharType="begin"/>
          </w:r>
          <w:r>
            <w:instrText xml:space="preserve"> HYPERLINK \l "_Toc77601384" </w:instrText>
          </w:r>
          <w:r>
            <w:fldChar w:fldCharType="separate"/>
          </w:r>
          <w:r>
            <w:rPr>
              <w:rStyle w:val="27"/>
            </w:rPr>
            <w:t>二、产业结构调整</w:t>
          </w:r>
          <w:r>
            <w:tab/>
          </w:r>
          <w:r>
            <w:fldChar w:fldCharType="begin"/>
          </w:r>
          <w:r>
            <w:instrText xml:space="preserve"> PAGEREF _Toc77601384 \h </w:instrText>
          </w:r>
          <w:r>
            <w:fldChar w:fldCharType="separate"/>
          </w:r>
          <w:r>
            <w:t>40</w:t>
          </w:r>
          <w:r>
            <w:fldChar w:fldCharType="end"/>
          </w:r>
          <w:r>
            <w:fldChar w:fldCharType="end"/>
          </w:r>
        </w:p>
        <w:p>
          <w:pPr>
            <w:pStyle w:val="10"/>
            <w:tabs>
              <w:tab w:val="right" w:leader="dot" w:pos="8296"/>
            </w:tabs>
            <w:ind w:left="398" w:leftChars="142" w:firstLine="198" w:firstLineChars="71"/>
            <w:rPr>
              <w:rFonts w:asciiTheme="minorHAnsi" w:hAnsiTheme="minorHAnsi" w:eastAsiaTheme="minorEastAsia" w:cstheme="minorBidi"/>
              <w:sz w:val="21"/>
            </w:rPr>
          </w:pPr>
          <w:r>
            <w:fldChar w:fldCharType="begin"/>
          </w:r>
          <w:r>
            <w:instrText xml:space="preserve"> HYPERLINK \l "_Toc77601389" </w:instrText>
          </w:r>
          <w:r>
            <w:fldChar w:fldCharType="separate"/>
          </w:r>
          <w:r>
            <w:rPr>
              <w:rStyle w:val="27"/>
            </w:rPr>
            <w:t>三、能源结构调整</w:t>
          </w:r>
          <w:r>
            <w:tab/>
          </w:r>
          <w:r>
            <w:fldChar w:fldCharType="begin"/>
          </w:r>
          <w:r>
            <w:instrText xml:space="preserve"> PAGEREF _Toc77601389 \h </w:instrText>
          </w:r>
          <w:r>
            <w:fldChar w:fldCharType="separate"/>
          </w:r>
          <w:r>
            <w:t>42</w:t>
          </w:r>
          <w:r>
            <w:fldChar w:fldCharType="end"/>
          </w:r>
          <w:r>
            <w:fldChar w:fldCharType="end"/>
          </w:r>
        </w:p>
        <w:p>
          <w:pPr>
            <w:pStyle w:val="10"/>
            <w:tabs>
              <w:tab w:val="right" w:leader="dot" w:pos="8296"/>
            </w:tabs>
            <w:ind w:left="398" w:leftChars="142" w:firstLine="198" w:firstLineChars="71"/>
            <w:rPr>
              <w:rFonts w:asciiTheme="minorHAnsi" w:hAnsiTheme="minorHAnsi" w:eastAsiaTheme="minorEastAsia" w:cstheme="minorBidi"/>
              <w:sz w:val="21"/>
            </w:rPr>
          </w:pPr>
          <w:r>
            <w:fldChar w:fldCharType="begin"/>
          </w:r>
          <w:r>
            <w:instrText xml:space="preserve"> HYPERLINK \l "_Toc77601395" </w:instrText>
          </w:r>
          <w:r>
            <w:fldChar w:fldCharType="separate"/>
          </w:r>
          <w:r>
            <w:rPr>
              <w:rStyle w:val="27"/>
            </w:rPr>
            <w:t>四、应对气候变化</w:t>
          </w:r>
          <w:r>
            <w:tab/>
          </w:r>
          <w:r>
            <w:fldChar w:fldCharType="begin"/>
          </w:r>
          <w:r>
            <w:instrText xml:space="preserve"> PAGEREF _Toc77601395 \h </w:instrText>
          </w:r>
          <w:r>
            <w:fldChar w:fldCharType="separate"/>
          </w:r>
          <w:r>
            <w:t>43</w:t>
          </w:r>
          <w:r>
            <w:fldChar w:fldCharType="end"/>
          </w:r>
          <w:r>
            <w:fldChar w:fldCharType="end"/>
          </w:r>
        </w:p>
        <w:p>
          <w:pPr>
            <w:pStyle w:val="10"/>
            <w:tabs>
              <w:tab w:val="right" w:leader="dot" w:pos="8296"/>
            </w:tabs>
            <w:ind w:left="398" w:leftChars="142" w:firstLine="198" w:firstLineChars="71"/>
            <w:rPr>
              <w:rFonts w:asciiTheme="minorHAnsi" w:hAnsiTheme="minorHAnsi" w:eastAsiaTheme="minorEastAsia" w:cstheme="minorBidi"/>
              <w:sz w:val="21"/>
            </w:rPr>
          </w:pPr>
          <w:r>
            <w:fldChar w:fldCharType="begin"/>
          </w:r>
          <w:r>
            <w:instrText xml:space="preserve"> HYPERLINK \l "_Toc77601398" </w:instrText>
          </w:r>
          <w:r>
            <w:fldChar w:fldCharType="separate"/>
          </w:r>
          <w:r>
            <w:rPr>
              <w:rStyle w:val="27"/>
            </w:rPr>
            <w:t>五、行业清洁化生产</w:t>
          </w:r>
          <w:r>
            <w:tab/>
          </w:r>
          <w:r>
            <w:fldChar w:fldCharType="begin"/>
          </w:r>
          <w:r>
            <w:instrText xml:space="preserve"> PAGEREF _Toc77601398 \h </w:instrText>
          </w:r>
          <w:r>
            <w:fldChar w:fldCharType="separate"/>
          </w:r>
          <w:r>
            <w:t>44</w:t>
          </w:r>
          <w:r>
            <w:fldChar w:fldCharType="end"/>
          </w:r>
          <w:r>
            <w:fldChar w:fldCharType="end"/>
          </w:r>
        </w:p>
        <w:p>
          <w:pPr>
            <w:pStyle w:val="10"/>
            <w:tabs>
              <w:tab w:val="right" w:leader="dot" w:pos="8296"/>
            </w:tabs>
            <w:ind w:left="398" w:leftChars="142" w:firstLine="198" w:firstLineChars="71"/>
            <w:rPr>
              <w:rFonts w:asciiTheme="minorHAnsi" w:hAnsiTheme="minorHAnsi" w:eastAsiaTheme="minorEastAsia" w:cstheme="minorBidi"/>
              <w:sz w:val="21"/>
            </w:rPr>
          </w:pPr>
          <w:r>
            <w:fldChar w:fldCharType="begin"/>
          </w:r>
          <w:r>
            <w:instrText xml:space="preserve"> HYPERLINK \l "_Toc77601402" </w:instrText>
          </w:r>
          <w:r>
            <w:fldChar w:fldCharType="separate"/>
          </w:r>
          <w:r>
            <w:rPr>
              <w:rStyle w:val="27"/>
            </w:rPr>
            <w:t>六、园区循环化改造</w:t>
          </w:r>
          <w:r>
            <w:tab/>
          </w:r>
          <w:r>
            <w:fldChar w:fldCharType="begin"/>
          </w:r>
          <w:r>
            <w:instrText xml:space="preserve"> PAGEREF _Toc77601402 \h </w:instrText>
          </w:r>
          <w:r>
            <w:fldChar w:fldCharType="separate"/>
          </w:r>
          <w:r>
            <w:t>45</w:t>
          </w:r>
          <w:r>
            <w:fldChar w:fldCharType="end"/>
          </w:r>
          <w:r>
            <w:fldChar w:fldCharType="end"/>
          </w:r>
        </w:p>
        <w:p>
          <w:pPr>
            <w:pStyle w:val="19"/>
            <w:tabs>
              <w:tab w:val="right" w:leader="dot" w:pos="8296"/>
            </w:tabs>
            <w:ind w:left="0" w:leftChars="0" w:firstLine="280" w:firstLineChars="100"/>
            <w:rPr>
              <w:rFonts w:asciiTheme="minorHAnsi" w:hAnsiTheme="minorHAnsi" w:eastAsiaTheme="minorEastAsia" w:cstheme="minorBidi"/>
              <w:sz w:val="21"/>
            </w:rPr>
          </w:pPr>
          <w:r>
            <w:fldChar w:fldCharType="begin"/>
          </w:r>
          <w:r>
            <w:instrText xml:space="preserve"> HYPERLINK \l "_Toc77601408" </w:instrText>
          </w:r>
          <w:r>
            <w:fldChar w:fldCharType="separate"/>
          </w:r>
          <w:r>
            <w:rPr>
              <w:rStyle w:val="27"/>
            </w:rPr>
            <w:t>第三节  生态环境体系建设</w:t>
          </w:r>
          <w:r>
            <w:tab/>
          </w:r>
          <w:r>
            <w:fldChar w:fldCharType="begin"/>
          </w:r>
          <w:r>
            <w:instrText xml:space="preserve"> PAGEREF _Toc77601408 \h </w:instrText>
          </w:r>
          <w:r>
            <w:fldChar w:fldCharType="separate"/>
          </w:r>
          <w:r>
            <w:t>47</w:t>
          </w:r>
          <w:r>
            <w:fldChar w:fldCharType="end"/>
          </w:r>
          <w:r>
            <w:fldChar w:fldCharType="end"/>
          </w:r>
        </w:p>
        <w:p>
          <w:pPr>
            <w:pStyle w:val="10"/>
            <w:tabs>
              <w:tab w:val="right" w:leader="dot" w:pos="8296"/>
            </w:tabs>
            <w:ind w:left="398" w:leftChars="142" w:firstLine="198" w:firstLineChars="71"/>
            <w:rPr>
              <w:rFonts w:asciiTheme="minorHAnsi" w:hAnsiTheme="minorHAnsi" w:eastAsiaTheme="minorEastAsia" w:cstheme="minorBidi"/>
              <w:sz w:val="21"/>
            </w:rPr>
          </w:pPr>
          <w:r>
            <w:fldChar w:fldCharType="begin"/>
          </w:r>
          <w:r>
            <w:instrText xml:space="preserve"> HYPERLINK \l "_Toc77601409" </w:instrText>
          </w:r>
          <w:r>
            <w:fldChar w:fldCharType="separate"/>
          </w:r>
          <w:r>
            <w:rPr>
              <w:rStyle w:val="27"/>
            </w:rPr>
            <w:t>一、水环境质量</w:t>
          </w:r>
          <w:r>
            <w:tab/>
          </w:r>
          <w:r>
            <w:fldChar w:fldCharType="begin"/>
          </w:r>
          <w:r>
            <w:instrText xml:space="preserve"> PAGEREF _Toc77601409 \h </w:instrText>
          </w:r>
          <w:r>
            <w:fldChar w:fldCharType="separate"/>
          </w:r>
          <w:r>
            <w:t>47</w:t>
          </w:r>
          <w:r>
            <w:fldChar w:fldCharType="end"/>
          </w:r>
          <w:r>
            <w:fldChar w:fldCharType="end"/>
          </w:r>
        </w:p>
        <w:p>
          <w:pPr>
            <w:pStyle w:val="10"/>
            <w:tabs>
              <w:tab w:val="right" w:leader="dot" w:pos="8296"/>
            </w:tabs>
            <w:ind w:left="398" w:leftChars="142" w:firstLine="198" w:firstLineChars="71"/>
            <w:rPr>
              <w:rFonts w:asciiTheme="minorHAnsi" w:hAnsiTheme="minorHAnsi" w:eastAsiaTheme="minorEastAsia" w:cstheme="minorBidi"/>
              <w:sz w:val="21"/>
            </w:rPr>
          </w:pPr>
          <w:r>
            <w:fldChar w:fldCharType="begin"/>
          </w:r>
          <w:r>
            <w:instrText xml:space="preserve"> HYPERLINK \l "_Toc77601410" </w:instrText>
          </w:r>
          <w:r>
            <w:fldChar w:fldCharType="separate"/>
          </w:r>
          <w:r>
            <w:rPr>
              <w:rStyle w:val="27"/>
            </w:rPr>
            <w:t>二、大气环境质量</w:t>
          </w:r>
          <w:r>
            <w:tab/>
          </w:r>
          <w:r>
            <w:fldChar w:fldCharType="begin"/>
          </w:r>
          <w:r>
            <w:instrText xml:space="preserve"> PAGEREF _Toc77601410 \h </w:instrText>
          </w:r>
          <w:r>
            <w:fldChar w:fldCharType="separate"/>
          </w:r>
          <w:r>
            <w:t>47</w:t>
          </w:r>
          <w:r>
            <w:fldChar w:fldCharType="end"/>
          </w:r>
          <w:r>
            <w:fldChar w:fldCharType="end"/>
          </w:r>
        </w:p>
        <w:p>
          <w:pPr>
            <w:pStyle w:val="10"/>
            <w:tabs>
              <w:tab w:val="right" w:leader="dot" w:pos="8296"/>
            </w:tabs>
            <w:ind w:left="398" w:leftChars="142" w:firstLine="198" w:firstLineChars="71"/>
            <w:rPr>
              <w:rFonts w:asciiTheme="minorHAnsi" w:hAnsiTheme="minorHAnsi" w:eastAsiaTheme="minorEastAsia" w:cstheme="minorBidi"/>
              <w:sz w:val="21"/>
            </w:rPr>
          </w:pPr>
          <w:r>
            <w:fldChar w:fldCharType="begin"/>
          </w:r>
          <w:r>
            <w:instrText xml:space="preserve"> HYPERLINK \l "_Toc77601416" </w:instrText>
          </w:r>
          <w:r>
            <w:fldChar w:fldCharType="separate"/>
          </w:r>
          <w:r>
            <w:rPr>
              <w:rStyle w:val="27"/>
            </w:rPr>
            <w:t>三、土壤环境质量保护措施</w:t>
          </w:r>
          <w:r>
            <w:tab/>
          </w:r>
          <w:r>
            <w:fldChar w:fldCharType="begin"/>
          </w:r>
          <w:r>
            <w:instrText xml:space="preserve"> PAGEREF _Toc77601416 \h </w:instrText>
          </w:r>
          <w:r>
            <w:fldChar w:fldCharType="separate"/>
          </w:r>
          <w:r>
            <w:t>49</w:t>
          </w:r>
          <w:r>
            <w:fldChar w:fldCharType="end"/>
          </w:r>
          <w:r>
            <w:fldChar w:fldCharType="end"/>
          </w:r>
        </w:p>
        <w:p>
          <w:pPr>
            <w:pStyle w:val="10"/>
            <w:tabs>
              <w:tab w:val="right" w:leader="dot" w:pos="8296"/>
            </w:tabs>
            <w:ind w:left="398" w:leftChars="142" w:firstLine="198" w:firstLineChars="71"/>
            <w:rPr>
              <w:rFonts w:asciiTheme="minorHAnsi" w:hAnsiTheme="minorHAnsi" w:eastAsiaTheme="minorEastAsia" w:cstheme="minorBidi"/>
              <w:sz w:val="21"/>
            </w:rPr>
          </w:pPr>
          <w:r>
            <w:fldChar w:fldCharType="begin"/>
          </w:r>
          <w:r>
            <w:instrText xml:space="preserve"> HYPERLINK \l "_Toc77601420" </w:instrText>
          </w:r>
          <w:r>
            <w:fldChar w:fldCharType="separate"/>
          </w:r>
          <w:r>
            <w:rPr>
              <w:rStyle w:val="27"/>
            </w:rPr>
            <w:t>四、生态系统保护与修复</w:t>
          </w:r>
          <w:r>
            <w:tab/>
          </w:r>
          <w:r>
            <w:fldChar w:fldCharType="begin"/>
          </w:r>
          <w:r>
            <w:instrText xml:space="preserve"> PAGEREF _Toc77601420 \h </w:instrText>
          </w:r>
          <w:r>
            <w:fldChar w:fldCharType="separate"/>
          </w:r>
          <w:r>
            <w:t>51</w:t>
          </w:r>
          <w:r>
            <w:fldChar w:fldCharType="end"/>
          </w:r>
          <w:r>
            <w:fldChar w:fldCharType="end"/>
          </w:r>
        </w:p>
        <w:p>
          <w:pPr>
            <w:pStyle w:val="10"/>
            <w:tabs>
              <w:tab w:val="right" w:leader="dot" w:pos="8296"/>
            </w:tabs>
            <w:ind w:left="398" w:leftChars="142" w:firstLine="198" w:firstLineChars="71"/>
            <w:rPr>
              <w:rFonts w:asciiTheme="minorHAnsi" w:hAnsiTheme="minorHAnsi" w:eastAsiaTheme="minorEastAsia" w:cstheme="minorBidi"/>
              <w:sz w:val="21"/>
            </w:rPr>
          </w:pPr>
          <w:r>
            <w:fldChar w:fldCharType="begin"/>
          </w:r>
          <w:r>
            <w:instrText xml:space="preserve"> HYPERLINK \l "_Toc77601423" </w:instrText>
          </w:r>
          <w:r>
            <w:fldChar w:fldCharType="separate"/>
          </w:r>
          <w:r>
            <w:rPr>
              <w:rStyle w:val="27"/>
            </w:rPr>
            <w:t>五、生态环境风险防范</w:t>
          </w:r>
          <w:r>
            <w:tab/>
          </w:r>
          <w:r>
            <w:fldChar w:fldCharType="begin"/>
          </w:r>
          <w:r>
            <w:instrText xml:space="preserve"> PAGEREF _Toc77601423 \h </w:instrText>
          </w:r>
          <w:r>
            <w:fldChar w:fldCharType="separate"/>
          </w:r>
          <w:r>
            <w:t>54</w:t>
          </w:r>
          <w:r>
            <w:fldChar w:fldCharType="end"/>
          </w:r>
          <w:r>
            <w:fldChar w:fldCharType="end"/>
          </w:r>
        </w:p>
        <w:p>
          <w:pPr>
            <w:pStyle w:val="19"/>
            <w:tabs>
              <w:tab w:val="right" w:leader="dot" w:pos="8296"/>
            </w:tabs>
            <w:ind w:left="0" w:leftChars="0" w:firstLine="280" w:firstLineChars="100"/>
            <w:rPr>
              <w:rFonts w:asciiTheme="minorHAnsi" w:hAnsiTheme="minorHAnsi" w:eastAsiaTheme="minorEastAsia" w:cstheme="minorBidi"/>
              <w:sz w:val="21"/>
            </w:rPr>
          </w:pPr>
          <w:r>
            <w:fldChar w:fldCharType="begin"/>
          </w:r>
          <w:r>
            <w:instrText xml:space="preserve"> HYPERLINK \l "_Toc77601424" </w:instrText>
          </w:r>
          <w:r>
            <w:fldChar w:fldCharType="separate"/>
          </w:r>
          <w:r>
            <w:rPr>
              <w:rStyle w:val="27"/>
            </w:rPr>
            <w:t>第四节  生态生活体系建设</w:t>
          </w:r>
          <w:r>
            <w:tab/>
          </w:r>
          <w:r>
            <w:fldChar w:fldCharType="begin"/>
          </w:r>
          <w:r>
            <w:instrText xml:space="preserve"> PAGEREF _Toc77601424 \h </w:instrText>
          </w:r>
          <w:r>
            <w:fldChar w:fldCharType="separate"/>
          </w:r>
          <w:r>
            <w:t>56</w:t>
          </w:r>
          <w:r>
            <w:fldChar w:fldCharType="end"/>
          </w:r>
          <w:r>
            <w:fldChar w:fldCharType="end"/>
          </w:r>
        </w:p>
        <w:p>
          <w:pPr>
            <w:pStyle w:val="10"/>
            <w:tabs>
              <w:tab w:val="right" w:leader="dot" w:pos="8296"/>
            </w:tabs>
            <w:ind w:left="398" w:leftChars="142" w:firstLine="198" w:firstLineChars="71"/>
            <w:rPr>
              <w:rFonts w:asciiTheme="minorHAnsi" w:hAnsiTheme="minorHAnsi" w:eastAsiaTheme="minorEastAsia" w:cstheme="minorBidi"/>
              <w:sz w:val="21"/>
            </w:rPr>
          </w:pPr>
          <w:r>
            <w:fldChar w:fldCharType="begin"/>
          </w:r>
          <w:r>
            <w:instrText xml:space="preserve"> HYPERLINK \l "_Toc77601425" </w:instrText>
          </w:r>
          <w:r>
            <w:fldChar w:fldCharType="separate"/>
          </w:r>
          <w:r>
            <w:rPr>
              <w:rStyle w:val="27"/>
            </w:rPr>
            <w:t>一、城乡环境一体化建设</w:t>
          </w:r>
          <w:r>
            <w:tab/>
          </w:r>
          <w:r>
            <w:fldChar w:fldCharType="begin"/>
          </w:r>
          <w:r>
            <w:instrText xml:space="preserve"> PAGEREF _Toc77601425 \h </w:instrText>
          </w:r>
          <w:r>
            <w:fldChar w:fldCharType="separate"/>
          </w:r>
          <w:r>
            <w:t>56</w:t>
          </w:r>
          <w:r>
            <w:fldChar w:fldCharType="end"/>
          </w:r>
          <w:r>
            <w:fldChar w:fldCharType="end"/>
          </w:r>
        </w:p>
        <w:p>
          <w:pPr>
            <w:pStyle w:val="10"/>
            <w:tabs>
              <w:tab w:val="right" w:leader="dot" w:pos="8296"/>
            </w:tabs>
            <w:ind w:left="398" w:leftChars="142" w:firstLine="198" w:firstLineChars="71"/>
            <w:rPr>
              <w:rFonts w:asciiTheme="minorHAnsi" w:hAnsiTheme="minorHAnsi" w:eastAsiaTheme="minorEastAsia" w:cstheme="minorBidi"/>
              <w:sz w:val="21"/>
            </w:rPr>
          </w:pPr>
          <w:r>
            <w:fldChar w:fldCharType="begin"/>
          </w:r>
          <w:r>
            <w:instrText xml:space="preserve"> HYPERLINK \l "_Toc77601429" </w:instrText>
          </w:r>
          <w:r>
            <w:fldChar w:fldCharType="separate"/>
          </w:r>
          <w:r>
            <w:rPr>
              <w:rStyle w:val="27"/>
            </w:rPr>
            <w:t>二、城镇生态绿地系统</w:t>
          </w:r>
          <w:r>
            <w:tab/>
          </w:r>
          <w:r>
            <w:fldChar w:fldCharType="begin"/>
          </w:r>
          <w:r>
            <w:instrText xml:space="preserve"> PAGEREF _Toc77601429 \h </w:instrText>
          </w:r>
          <w:r>
            <w:fldChar w:fldCharType="separate"/>
          </w:r>
          <w:r>
            <w:t>57</w:t>
          </w:r>
          <w:r>
            <w:fldChar w:fldCharType="end"/>
          </w:r>
          <w:r>
            <w:fldChar w:fldCharType="end"/>
          </w:r>
        </w:p>
        <w:p>
          <w:pPr>
            <w:pStyle w:val="10"/>
            <w:tabs>
              <w:tab w:val="right" w:leader="dot" w:pos="8296"/>
            </w:tabs>
            <w:ind w:left="398" w:leftChars="142" w:firstLine="198" w:firstLineChars="71"/>
            <w:rPr>
              <w:rFonts w:asciiTheme="minorHAnsi" w:hAnsiTheme="minorHAnsi" w:eastAsiaTheme="minorEastAsia" w:cstheme="minorBidi"/>
              <w:sz w:val="21"/>
            </w:rPr>
          </w:pPr>
          <w:r>
            <w:fldChar w:fldCharType="begin"/>
          </w:r>
          <w:r>
            <w:instrText xml:space="preserve"> HYPERLINK \l "_Toc77601430" </w:instrText>
          </w:r>
          <w:r>
            <w:fldChar w:fldCharType="separate"/>
          </w:r>
          <w:r>
            <w:rPr>
              <w:rStyle w:val="27"/>
            </w:rPr>
            <w:t>三、农业农村环境综合整治</w:t>
          </w:r>
          <w:r>
            <w:tab/>
          </w:r>
          <w:r>
            <w:fldChar w:fldCharType="begin"/>
          </w:r>
          <w:r>
            <w:instrText xml:space="preserve"> PAGEREF _Toc77601430 \h </w:instrText>
          </w:r>
          <w:r>
            <w:fldChar w:fldCharType="separate"/>
          </w:r>
          <w:r>
            <w:t>58</w:t>
          </w:r>
          <w:r>
            <w:fldChar w:fldCharType="end"/>
          </w:r>
          <w:r>
            <w:fldChar w:fldCharType="end"/>
          </w:r>
        </w:p>
        <w:p>
          <w:pPr>
            <w:pStyle w:val="10"/>
            <w:tabs>
              <w:tab w:val="right" w:leader="dot" w:pos="8296"/>
            </w:tabs>
            <w:ind w:left="398" w:leftChars="142" w:firstLine="198" w:firstLineChars="71"/>
            <w:rPr>
              <w:rFonts w:asciiTheme="minorHAnsi" w:hAnsiTheme="minorHAnsi" w:eastAsiaTheme="minorEastAsia" w:cstheme="minorBidi"/>
              <w:sz w:val="21"/>
            </w:rPr>
          </w:pPr>
          <w:r>
            <w:fldChar w:fldCharType="begin"/>
          </w:r>
          <w:r>
            <w:instrText xml:space="preserve"> HYPERLINK \l "_Toc77601431" </w:instrText>
          </w:r>
          <w:r>
            <w:fldChar w:fldCharType="separate"/>
          </w:r>
          <w:r>
            <w:rPr>
              <w:rStyle w:val="27"/>
            </w:rPr>
            <w:t>四、绿色生活方式</w:t>
          </w:r>
          <w:r>
            <w:tab/>
          </w:r>
          <w:r>
            <w:fldChar w:fldCharType="begin"/>
          </w:r>
          <w:r>
            <w:instrText xml:space="preserve"> PAGEREF _Toc77601431 \h </w:instrText>
          </w:r>
          <w:r>
            <w:fldChar w:fldCharType="separate"/>
          </w:r>
          <w:r>
            <w:t>59</w:t>
          </w:r>
          <w:r>
            <w:fldChar w:fldCharType="end"/>
          </w:r>
          <w:r>
            <w:fldChar w:fldCharType="end"/>
          </w:r>
        </w:p>
        <w:p>
          <w:pPr>
            <w:pStyle w:val="19"/>
            <w:tabs>
              <w:tab w:val="right" w:leader="dot" w:pos="8296"/>
            </w:tabs>
            <w:ind w:left="0" w:leftChars="0" w:firstLine="280" w:firstLineChars="100"/>
            <w:rPr>
              <w:rFonts w:asciiTheme="minorHAnsi" w:hAnsiTheme="minorHAnsi" w:eastAsiaTheme="minorEastAsia" w:cstheme="minorBidi"/>
              <w:sz w:val="21"/>
            </w:rPr>
          </w:pPr>
          <w:r>
            <w:fldChar w:fldCharType="begin"/>
          </w:r>
          <w:r>
            <w:instrText xml:space="preserve"> HYPERLINK \l "_Toc77601432" </w:instrText>
          </w:r>
          <w:r>
            <w:fldChar w:fldCharType="separate"/>
          </w:r>
          <w:r>
            <w:rPr>
              <w:rStyle w:val="27"/>
            </w:rPr>
            <w:t>第五节 生态文化体系建设</w:t>
          </w:r>
          <w:r>
            <w:tab/>
          </w:r>
          <w:r>
            <w:fldChar w:fldCharType="begin"/>
          </w:r>
          <w:r>
            <w:instrText xml:space="preserve"> PAGEREF _Toc77601432 \h </w:instrText>
          </w:r>
          <w:r>
            <w:fldChar w:fldCharType="separate"/>
          </w:r>
          <w:r>
            <w:t>60</w:t>
          </w:r>
          <w:r>
            <w:fldChar w:fldCharType="end"/>
          </w:r>
          <w:r>
            <w:fldChar w:fldCharType="end"/>
          </w:r>
        </w:p>
        <w:p>
          <w:pPr>
            <w:pStyle w:val="10"/>
            <w:tabs>
              <w:tab w:val="right" w:leader="dot" w:pos="8296"/>
            </w:tabs>
            <w:ind w:left="398" w:leftChars="142" w:firstLine="198" w:firstLineChars="71"/>
            <w:rPr>
              <w:rFonts w:asciiTheme="minorHAnsi" w:hAnsiTheme="minorHAnsi" w:eastAsiaTheme="minorEastAsia" w:cstheme="minorBidi"/>
              <w:sz w:val="21"/>
            </w:rPr>
          </w:pPr>
          <w:r>
            <w:fldChar w:fldCharType="begin"/>
          </w:r>
          <w:r>
            <w:instrText xml:space="preserve"> HYPERLINK \l "_Toc77601433" </w:instrText>
          </w:r>
          <w:r>
            <w:fldChar w:fldCharType="separate"/>
          </w:r>
          <w:r>
            <w:rPr>
              <w:rStyle w:val="27"/>
            </w:rPr>
            <w:t>一、规划方案</w:t>
          </w:r>
          <w:r>
            <w:tab/>
          </w:r>
          <w:r>
            <w:fldChar w:fldCharType="begin"/>
          </w:r>
          <w:r>
            <w:instrText xml:space="preserve"> PAGEREF _Toc77601433 \h </w:instrText>
          </w:r>
          <w:r>
            <w:fldChar w:fldCharType="separate"/>
          </w:r>
          <w:r>
            <w:t>60</w:t>
          </w:r>
          <w:r>
            <w:fldChar w:fldCharType="end"/>
          </w:r>
          <w:r>
            <w:fldChar w:fldCharType="end"/>
          </w:r>
        </w:p>
        <w:p>
          <w:pPr>
            <w:pStyle w:val="16"/>
            <w:tabs>
              <w:tab w:val="right" w:leader="dot" w:pos="8296"/>
            </w:tabs>
            <w:ind w:firstLine="560"/>
            <w:rPr>
              <w:rFonts w:asciiTheme="minorHAnsi" w:hAnsiTheme="minorHAnsi" w:eastAsiaTheme="minorEastAsia" w:cstheme="minorBidi"/>
              <w:sz w:val="21"/>
            </w:rPr>
          </w:pPr>
          <w:r>
            <w:fldChar w:fldCharType="begin"/>
          </w:r>
          <w:r>
            <w:instrText xml:space="preserve"> HYPERLINK \l "_Toc77601434" </w:instrText>
          </w:r>
          <w:r>
            <w:fldChar w:fldCharType="separate"/>
          </w:r>
          <w:r>
            <w:rPr>
              <w:rStyle w:val="27"/>
              <w:rFonts w:ascii="宋体" w:hAnsi="宋体" w:cs="黑体"/>
            </w:rPr>
            <w:t>（一）生态文明意识提升</w:t>
          </w:r>
          <w:r>
            <w:tab/>
          </w:r>
          <w:r>
            <w:fldChar w:fldCharType="begin"/>
          </w:r>
          <w:r>
            <w:instrText xml:space="preserve"> PAGEREF _Toc77601434 \h </w:instrText>
          </w:r>
          <w:r>
            <w:fldChar w:fldCharType="separate"/>
          </w:r>
          <w:r>
            <w:t>60</w:t>
          </w:r>
          <w:r>
            <w:fldChar w:fldCharType="end"/>
          </w:r>
          <w:r>
            <w:fldChar w:fldCharType="end"/>
          </w:r>
        </w:p>
        <w:p>
          <w:pPr>
            <w:pStyle w:val="16"/>
            <w:tabs>
              <w:tab w:val="right" w:leader="dot" w:pos="8296"/>
            </w:tabs>
            <w:ind w:firstLine="560"/>
            <w:rPr>
              <w:rFonts w:asciiTheme="minorHAnsi" w:hAnsiTheme="minorHAnsi" w:eastAsiaTheme="minorEastAsia" w:cstheme="minorBidi"/>
              <w:sz w:val="21"/>
            </w:rPr>
          </w:pPr>
          <w:r>
            <w:fldChar w:fldCharType="begin"/>
          </w:r>
          <w:r>
            <w:instrText xml:space="preserve"> HYPERLINK \l "_Toc77601435" </w:instrText>
          </w:r>
          <w:r>
            <w:fldChar w:fldCharType="separate"/>
          </w:r>
          <w:r>
            <w:rPr>
              <w:rStyle w:val="27"/>
              <w:rFonts w:ascii="宋体" w:hAnsi="宋体" w:cs="黑体"/>
            </w:rPr>
            <w:t>（二）生态文明宣传教育</w:t>
          </w:r>
          <w:r>
            <w:tab/>
          </w:r>
          <w:r>
            <w:fldChar w:fldCharType="begin"/>
          </w:r>
          <w:r>
            <w:instrText xml:space="preserve"> PAGEREF _Toc77601435 \h </w:instrText>
          </w:r>
          <w:r>
            <w:fldChar w:fldCharType="separate"/>
          </w:r>
          <w:r>
            <w:t>60</w:t>
          </w:r>
          <w:r>
            <w:fldChar w:fldCharType="end"/>
          </w:r>
          <w:r>
            <w:fldChar w:fldCharType="end"/>
          </w:r>
        </w:p>
        <w:p>
          <w:pPr>
            <w:pStyle w:val="16"/>
            <w:tabs>
              <w:tab w:val="right" w:leader="dot" w:pos="8296"/>
            </w:tabs>
            <w:ind w:firstLine="560"/>
            <w:rPr>
              <w:rFonts w:asciiTheme="minorHAnsi" w:hAnsiTheme="minorHAnsi" w:eastAsiaTheme="minorEastAsia" w:cstheme="minorBidi"/>
              <w:sz w:val="21"/>
            </w:rPr>
          </w:pPr>
          <w:r>
            <w:fldChar w:fldCharType="begin"/>
          </w:r>
          <w:r>
            <w:instrText xml:space="preserve"> HYPERLINK \l "_Toc77601438" </w:instrText>
          </w:r>
          <w:r>
            <w:fldChar w:fldCharType="separate"/>
          </w:r>
          <w:r>
            <w:rPr>
              <w:rStyle w:val="27"/>
              <w:rFonts w:ascii="宋体" w:hAnsi="宋体" w:cs="黑体"/>
            </w:rPr>
            <w:t>（三）生态文明共建共享</w:t>
          </w:r>
          <w:r>
            <w:tab/>
          </w:r>
          <w:r>
            <w:fldChar w:fldCharType="begin"/>
          </w:r>
          <w:r>
            <w:instrText xml:space="preserve"> PAGEREF _Toc77601438 \h </w:instrText>
          </w:r>
          <w:r>
            <w:fldChar w:fldCharType="separate"/>
          </w:r>
          <w:r>
            <w:t>62</w:t>
          </w:r>
          <w:r>
            <w:fldChar w:fldCharType="end"/>
          </w:r>
          <w:r>
            <w:fldChar w:fldCharType="end"/>
          </w:r>
        </w:p>
        <w:p>
          <w:pPr>
            <w:pStyle w:val="16"/>
            <w:tabs>
              <w:tab w:val="right" w:leader="dot" w:pos="8296"/>
            </w:tabs>
            <w:ind w:firstLine="560"/>
            <w:rPr>
              <w:rFonts w:asciiTheme="minorHAnsi" w:hAnsiTheme="minorHAnsi" w:eastAsiaTheme="minorEastAsia" w:cstheme="minorBidi"/>
              <w:sz w:val="21"/>
            </w:rPr>
          </w:pPr>
          <w:r>
            <w:fldChar w:fldCharType="begin"/>
          </w:r>
          <w:r>
            <w:instrText xml:space="preserve"> HYPERLINK \l "_Toc77601439" </w:instrText>
          </w:r>
          <w:r>
            <w:fldChar w:fldCharType="separate"/>
          </w:r>
          <w:r>
            <w:rPr>
              <w:rStyle w:val="27"/>
              <w:rFonts w:ascii="宋体" w:hAnsi="宋体" w:cs="黑体"/>
            </w:rPr>
            <w:t>（四）生态文化工程建设</w:t>
          </w:r>
          <w:r>
            <w:tab/>
          </w:r>
          <w:r>
            <w:fldChar w:fldCharType="begin"/>
          </w:r>
          <w:r>
            <w:instrText xml:space="preserve"> PAGEREF _Toc77601439 \h </w:instrText>
          </w:r>
          <w:r>
            <w:fldChar w:fldCharType="separate"/>
          </w:r>
          <w:r>
            <w:t>62</w:t>
          </w:r>
          <w:r>
            <w:fldChar w:fldCharType="end"/>
          </w:r>
          <w:r>
            <w:fldChar w:fldCharType="end"/>
          </w:r>
        </w:p>
        <w:p>
          <w:pPr>
            <w:pStyle w:val="19"/>
            <w:tabs>
              <w:tab w:val="right" w:leader="dot" w:pos="8296"/>
            </w:tabs>
            <w:ind w:left="0" w:leftChars="0" w:firstLine="280" w:firstLineChars="100"/>
            <w:rPr>
              <w:rFonts w:asciiTheme="minorHAnsi" w:hAnsiTheme="minorHAnsi" w:eastAsiaTheme="minorEastAsia" w:cstheme="minorBidi"/>
              <w:sz w:val="21"/>
            </w:rPr>
          </w:pPr>
          <w:r>
            <w:fldChar w:fldCharType="begin"/>
          </w:r>
          <w:r>
            <w:instrText xml:space="preserve"> HYPERLINK \l "_Toc77601443" </w:instrText>
          </w:r>
          <w:r>
            <w:fldChar w:fldCharType="separate"/>
          </w:r>
          <w:r>
            <w:rPr>
              <w:rStyle w:val="27"/>
            </w:rPr>
            <w:t>第六节 生态制度体系建设</w:t>
          </w:r>
          <w:r>
            <w:tab/>
          </w:r>
          <w:r>
            <w:fldChar w:fldCharType="begin"/>
          </w:r>
          <w:r>
            <w:instrText xml:space="preserve"> PAGEREF _Toc77601443 \h </w:instrText>
          </w:r>
          <w:r>
            <w:fldChar w:fldCharType="separate"/>
          </w:r>
          <w:r>
            <w:t>65</w:t>
          </w:r>
          <w:r>
            <w:fldChar w:fldCharType="end"/>
          </w:r>
          <w:r>
            <w:fldChar w:fldCharType="end"/>
          </w:r>
        </w:p>
        <w:p>
          <w:pPr>
            <w:pStyle w:val="10"/>
            <w:tabs>
              <w:tab w:val="right" w:leader="dot" w:pos="8296"/>
            </w:tabs>
            <w:ind w:left="398" w:leftChars="142" w:firstLine="198" w:firstLineChars="71"/>
            <w:rPr>
              <w:rFonts w:asciiTheme="minorHAnsi" w:hAnsiTheme="minorHAnsi" w:eastAsiaTheme="minorEastAsia" w:cstheme="minorBidi"/>
              <w:sz w:val="21"/>
            </w:rPr>
          </w:pPr>
          <w:r>
            <w:fldChar w:fldCharType="begin"/>
          </w:r>
          <w:r>
            <w:instrText xml:space="preserve"> HYPERLINK \l "_Toc77601444" </w:instrText>
          </w:r>
          <w:r>
            <w:fldChar w:fldCharType="separate"/>
          </w:r>
          <w:r>
            <w:rPr>
              <w:rStyle w:val="27"/>
            </w:rPr>
            <w:t>一、建设总体思路</w:t>
          </w:r>
          <w:r>
            <w:tab/>
          </w:r>
          <w:r>
            <w:fldChar w:fldCharType="begin"/>
          </w:r>
          <w:r>
            <w:instrText xml:space="preserve"> PAGEREF _Toc77601444 \h </w:instrText>
          </w:r>
          <w:r>
            <w:fldChar w:fldCharType="separate"/>
          </w:r>
          <w:r>
            <w:t>65</w:t>
          </w:r>
          <w:r>
            <w:fldChar w:fldCharType="end"/>
          </w:r>
          <w:r>
            <w:fldChar w:fldCharType="end"/>
          </w:r>
        </w:p>
        <w:p>
          <w:pPr>
            <w:pStyle w:val="16"/>
            <w:tabs>
              <w:tab w:val="right" w:leader="dot" w:pos="8296"/>
            </w:tabs>
            <w:ind w:firstLine="560"/>
            <w:rPr>
              <w:rFonts w:asciiTheme="minorHAnsi" w:hAnsiTheme="minorHAnsi" w:eastAsiaTheme="minorEastAsia" w:cstheme="minorBidi"/>
              <w:sz w:val="21"/>
            </w:rPr>
          </w:pPr>
          <w:r>
            <w:fldChar w:fldCharType="begin"/>
          </w:r>
          <w:r>
            <w:instrText xml:space="preserve"> HYPERLINK \l "_Toc77601445" </w:instrText>
          </w:r>
          <w:r>
            <w:fldChar w:fldCharType="separate"/>
          </w:r>
          <w:r>
            <w:rPr>
              <w:rStyle w:val="27"/>
              <w:rFonts w:ascii="宋体" w:hAnsi="宋体" w:cs="黑体"/>
            </w:rPr>
            <w:t>（一）优化生态文明考核和责任追究制度</w:t>
          </w:r>
          <w:r>
            <w:tab/>
          </w:r>
          <w:r>
            <w:fldChar w:fldCharType="begin"/>
          </w:r>
          <w:r>
            <w:instrText xml:space="preserve"> PAGEREF _Toc77601445 \h </w:instrText>
          </w:r>
          <w:r>
            <w:fldChar w:fldCharType="separate"/>
          </w:r>
          <w:r>
            <w:t>65</w:t>
          </w:r>
          <w:r>
            <w:fldChar w:fldCharType="end"/>
          </w:r>
          <w:r>
            <w:fldChar w:fldCharType="end"/>
          </w:r>
        </w:p>
        <w:p>
          <w:pPr>
            <w:pStyle w:val="16"/>
            <w:tabs>
              <w:tab w:val="right" w:leader="dot" w:pos="8296"/>
            </w:tabs>
            <w:ind w:firstLine="560"/>
            <w:rPr>
              <w:rFonts w:asciiTheme="minorHAnsi" w:hAnsiTheme="minorHAnsi" w:eastAsiaTheme="minorEastAsia" w:cstheme="minorBidi"/>
              <w:sz w:val="21"/>
            </w:rPr>
          </w:pPr>
          <w:r>
            <w:fldChar w:fldCharType="begin"/>
          </w:r>
          <w:r>
            <w:instrText xml:space="preserve"> HYPERLINK \l "_Toc77601450" </w:instrText>
          </w:r>
          <w:r>
            <w:fldChar w:fldCharType="separate"/>
          </w:r>
          <w:r>
            <w:rPr>
              <w:rStyle w:val="27"/>
              <w:rFonts w:ascii="宋体" w:hAnsi="宋体" w:cs="黑体"/>
            </w:rPr>
            <w:t>（二）完善自然资源资产产权和管理制度</w:t>
          </w:r>
          <w:r>
            <w:tab/>
          </w:r>
          <w:r>
            <w:fldChar w:fldCharType="begin"/>
          </w:r>
          <w:r>
            <w:instrText xml:space="preserve"> PAGEREF _Toc77601450 \h </w:instrText>
          </w:r>
          <w:r>
            <w:fldChar w:fldCharType="separate"/>
          </w:r>
          <w:r>
            <w:t>66</w:t>
          </w:r>
          <w:r>
            <w:fldChar w:fldCharType="end"/>
          </w:r>
          <w:r>
            <w:fldChar w:fldCharType="end"/>
          </w:r>
        </w:p>
        <w:p>
          <w:pPr>
            <w:pStyle w:val="16"/>
            <w:tabs>
              <w:tab w:val="right" w:leader="dot" w:pos="8296"/>
            </w:tabs>
            <w:ind w:firstLine="560"/>
            <w:rPr>
              <w:rFonts w:asciiTheme="minorHAnsi" w:hAnsiTheme="minorHAnsi" w:eastAsiaTheme="minorEastAsia" w:cstheme="minorBidi"/>
              <w:sz w:val="21"/>
            </w:rPr>
          </w:pPr>
          <w:r>
            <w:fldChar w:fldCharType="begin"/>
          </w:r>
          <w:r>
            <w:instrText xml:space="preserve"> HYPERLINK \l "_Toc77601453" </w:instrText>
          </w:r>
          <w:r>
            <w:fldChar w:fldCharType="separate"/>
          </w:r>
          <w:r>
            <w:rPr>
              <w:rStyle w:val="27"/>
              <w:rFonts w:ascii="宋体" w:hAnsi="宋体" w:cs="黑体"/>
            </w:rPr>
            <w:t>（三）完善资源有偿使用和生态补偿制度</w:t>
          </w:r>
          <w:r>
            <w:tab/>
          </w:r>
          <w:r>
            <w:fldChar w:fldCharType="begin"/>
          </w:r>
          <w:r>
            <w:instrText xml:space="preserve"> PAGEREF _Toc77601453 \h </w:instrText>
          </w:r>
          <w:r>
            <w:fldChar w:fldCharType="separate"/>
          </w:r>
          <w:r>
            <w:t>67</w:t>
          </w:r>
          <w:r>
            <w:fldChar w:fldCharType="end"/>
          </w:r>
          <w:r>
            <w:fldChar w:fldCharType="end"/>
          </w:r>
        </w:p>
        <w:p>
          <w:pPr>
            <w:pStyle w:val="16"/>
            <w:tabs>
              <w:tab w:val="right" w:leader="dot" w:pos="8296"/>
            </w:tabs>
            <w:ind w:firstLine="560"/>
            <w:rPr>
              <w:rFonts w:asciiTheme="minorHAnsi" w:hAnsiTheme="minorHAnsi" w:eastAsiaTheme="minorEastAsia" w:cstheme="minorBidi"/>
              <w:sz w:val="21"/>
            </w:rPr>
          </w:pPr>
          <w:r>
            <w:fldChar w:fldCharType="begin"/>
          </w:r>
          <w:r>
            <w:instrText xml:space="preserve"> HYPERLINK \l "_Toc77601456" </w:instrText>
          </w:r>
          <w:r>
            <w:fldChar w:fldCharType="separate"/>
          </w:r>
          <w:r>
            <w:rPr>
              <w:rStyle w:val="27"/>
              <w:rFonts w:ascii="宋体" w:hAnsi="宋体" w:cs="黑体"/>
            </w:rPr>
            <w:t>（四）强化生态环境保护与治理机制体制</w:t>
          </w:r>
          <w:r>
            <w:tab/>
          </w:r>
          <w:r>
            <w:fldChar w:fldCharType="begin"/>
          </w:r>
          <w:r>
            <w:instrText xml:space="preserve"> PAGEREF _Toc77601456 \h </w:instrText>
          </w:r>
          <w:r>
            <w:fldChar w:fldCharType="separate"/>
          </w:r>
          <w:r>
            <w:t>68</w:t>
          </w:r>
          <w:r>
            <w:fldChar w:fldCharType="end"/>
          </w:r>
          <w:r>
            <w:fldChar w:fldCharType="end"/>
          </w:r>
        </w:p>
        <w:p>
          <w:pPr>
            <w:pStyle w:val="16"/>
            <w:tabs>
              <w:tab w:val="right" w:leader="dot" w:pos="8296"/>
            </w:tabs>
            <w:ind w:firstLine="560"/>
            <w:rPr>
              <w:rFonts w:asciiTheme="minorHAnsi" w:hAnsiTheme="minorHAnsi" w:eastAsiaTheme="minorEastAsia" w:cstheme="minorBidi"/>
              <w:sz w:val="21"/>
            </w:rPr>
          </w:pPr>
          <w:r>
            <w:fldChar w:fldCharType="begin"/>
          </w:r>
          <w:r>
            <w:instrText xml:space="preserve"> HYPERLINK \l "_Toc77601461" </w:instrText>
          </w:r>
          <w:r>
            <w:fldChar w:fldCharType="separate"/>
          </w:r>
          <w:r>
            <w:rPr>
              <w:rStyle w:val="27"/>
              <w:rFonts w:ascii="宋体" w:hAnsi="宋体" w:cs="黑体"/>
            </w:rPr>
            <w:t>（五）健全环境信息公开与社会参与制度</w:t>
          </w:r>
          <w:r>
            <w:tab/>
          </w:r>
          <w:r>
            <w:fldChar w:fldCharType="begin"/>
          </w:r>
          <w:r>
            <w:instrText xml:space="preserve"> PAGEREF _Toc77601461 \h </w:instrText>
          </w:r>
          <w:r>
            <w:fldChar w:fldCharType="separate"/>
          </w:r>
          <w:r>
            <w:t>70</w:t>
          </w:r>
          <w:r>
            <w:fldChar w:fldCharType="end"/>
          </w:r>
          <w:r>
            <w:fldChar w:fldCharType="end"/>
          </w:r>
        </w:p>
        <w:p>
          <w:pPr>
            <w:pStyle w:val="16"/>
            <w:tabs>
              <w:tab w:val="right" w:leader="dot" w:pos="8296"/>
            </w:tabs>
            <w:ind w:firstLine="0" w:firstLineChars="0"/>
            <w:rPr>
              <w:rFonts w:asciiTheme="minorHAnsi" w:hAnsiTheme="minorHAnsi" w:eastAsiaTheme="minorEastAsia" w:cstheme="minorBidi"/>
              <w:sz w:val="21"/>
            </w:rPr>
          </w:pPr>
          <w:r>
            <w:fldChar w:fldCharType="begin"/>
          </w:r>
          <w:r>
            <w:instrText xml:space="preserve"> HYPERLINK \l "_Toc77601465" </w:instrText>
          </w:r>
          <w:r>
            <w:fldChar w:fldCharType="separate"/>
          </w:r>
          <w:r>
            <w:rPr>
              <w:rStyle w:val="27"/>
            </w:rPr>
            <w:t>第四章  重点工程</w:t>
          </w:r>
          <w:r>
            <w:tab/>
          </w:r>
          <w:r>
            <w:fldChar w:fldCharType="begin"/>
          </w:r>
          <w:r>
            <w:instrText xml:space="preserve"> PAGEREF _Toc77601465 \h </w:instrText>
          </w:r>
          <w:r>
            <w:fldChar w:fldCharType="separate"/>
          </w:r>
          <w:r>
            <w:t>73</w:t>
          </w:r>
          <w:r>
            <w:fldChar w:fldCharType="end"/>
          </w:r>
          <w:r>
            <w:fldChar w:fldCharType="end"/>
          </w:r>
        </w:p>
        <w:p>
          <w:pPr>
            <w:pStyle w:val="19"/>
            <w:tabs>
              <w:tab w:val="right" w:leader="dot" w:pos="8296"/>
            </w:tabs>
            <w:ind w:left="0" w:leftChars="0" w:firstLine="280" w:firstLineChars="100"/>
            <w:rPr>
              <w:rFonts w:asciiTheme="minorHAnsi" w:hAnsiTheme="minorHAnsi" w:eastAsiaTheme="minorEastAsia" w:cstheme="minorBidi"/>
              <w:sz w:val="21"/>
            </w:rPr>
          </w:pPr>
          <w:r>
            <w:fldChar w:fldCharType="begin"/>
          </w:r>
          <w:r>
            <w:instrText xml:space="preserve"> HYPERLINK \l "_Toc77601466" </w:instrText>
          </w:r>
          <w:r>
            <w:fldChar w:fldCharType="separate"/>
          </w:r>
          <w:r>
            <w:rPr>
              <w:rStyle w:val="27"/>
            </w:rPr>
            <w:t>一、生态文明制度完善工程</w:t>
          </w:r>
          <w:r>
            <w:tab/>
          </w:r>
          <w:r>
            <w:fldChar w:fldCharType="begin"/>
          </w:r>
          <w:r>
            <w:instrText xml:space="preserve"> PAGEREF _Toc77601466 \h </w:instrText>
          </w:r>
          <w:r>
            <w:fldChar w:fldCharType="separate"/>
          </w:r>
          <w:r>
            <w:t>74</w:t>
          </w:r>
          <w:r>
            <w:fldChar w:fldCharType="end"/>
          </w:r>
          <w:r>
            <w:fldChar w:fldCharType="end"/>
          </w:r>
        </w:p>
        <w:p>
          <w:pPr>
            <w:pStyle w:val="19"/>
            <w:tabs>
              <w:tab w:val="right" w:leader="dot" w:pos="8296"/>
            </w:tabs>
            <w:ind w:left="0" w:leftChars="0" w:firstLine="280" w:firstLineChars="100"/>
            <w:rPr>
              <w:rFonts w:asciiTheme="minorHAnsi" w:hAnsiTheme="minorHAnsi" w:eastAsiaTheme="minorEastAsia" w:cstheme="minorBidi"/>
              <w:sz w:val="21"/>
            </w:rPr>
          </w:pPr>
          <w:r>
            <w:fldChar w:fldCharType="begin"/>
          </w:r>
          <w:r>
            <w:instrText xml:space="preserve"> HYPERLINK \l "_Toc77601467" </w:instrText>
          </w:r>
          <w:r>
            <w:fldChar w:fldCharType="separate"/>
          </w:r>
          <w:r>
            <w:rPr>
              <w:rStyle w:val="27"/>
            </w:rPr>
            <w:t>二、生态空间格局优化工程</w:t>
          </w:r>
          <w:r>
            <w:tab/>
          </w:r>
          <w:r>
            <w:fldChar w:fldCharType="begin"/>
          </w:r>
          <w:r>
            <w:instrText xml:space="preserve"> PAGEREF _Toc77601467 \h </w:instrText>
          </w:r>
          <w:r>
            <w:fldChar w:fldCharType="separate"/>
          </w:r>
          <w:r>
            <w:t>74</w:t>
          </w:r>
          <w:r>
            <w:fldChar w:fldCharType="end"/>
          </w:r>
          <w:r>
            <w:fldChar w:fldCharType="end"/>
          </w:r>
        </w:p>
        <w:p>
          <w:pPr>
            <w:pStyle w:val="19"/>
            <w:tabs>
              <w:tab w:val="right" w:leader="dot" w:pos="8296"/>
            </w:tabs>
            <w:ind w:left="0" w:leftChars="0" w:firstLine="280" w:firstLineChars="100"/>
            <w:rPr>
              <w:rFonts w:asciiTheme="minorHAnsi" w:hAnsiTheme="minorHAnsi" w:eastAsiaTheme="minorEastAsia" w:cstheme="minorBidi"/>
              <w:sz w:val="21"/>
            </w:rPr>
          </w:pPr>
          <w:r>
            <w:fldChar w:fldCharType="begin"/>
          </w:r>
          <w:r>
            <w:instrText xml:space="preserve"> HYPERLINK \l "_Toc77601468" </w:instrText>
          </w:r>
          <w:r>
            <w:fldChar w:fldCharType="separate"/>
          </w:r>
          <w:r>
            <w:rPr>
              <w:rStyle w:val="27"/>
            </w:rPr>
            <w:t>三、生态经济绿色发展工程</w:t>
          </w:r>
          <w:r>
            <w:tab/>
          </w:r>
          <w:r>
            <w:fldChar w:fldCharType="begin"/>
          </w:r>
          <w:r>
            <w:instrText xml:space="preserve"> PAGEREF _Toc77601468 \h </w:instrText>
          </w:r>
          <w:r>
            <w:fldChar w:fldCharType="separate"/>
          </w:r>
          <w:r>
            <w:t>75</w:t>
          </w:r>
          <w:r>
            <w:fldChar w:fldCharType="end"/>
          </w:r>
          <w:r>
            <w:fldChar w:fldCharType="end"/>
          </w:r>
        </w:p>
        <w:p>
          <w:pPr>
            <w:pStyle w:val="19"/>
            <w:tabs>
              <w:tab w:val="right" w:leader="dot" w:pos="8296"/>
            </w:tabs>
            <w:ind w:left="0" w:leftChars="0" w:firstLine="280" w:firstLineChars="100"/>
            <w:rPr>
              <w:rFonts w:asciiTheme="minorHAnsi" w:hAnsiTheme="minorHAnsi" w:eastAsiaTheme="minorEastAsia" w:cstheme="minorBidi"/>
              <w:sz w:val="21"/>
            </w:rPr>
          </w:pPr>
          <w:r>
            <w:fldChar w:fldCharType="begin"/>
          </w:r>
          <w:r>
            <w:instrText xml:space="preserve"> HYPERLINK \l "_Toc77601469" </w:instrText>
          </w:r>
          <w:r>
            <w:fldChar w:fldCharType="separate"/>
          </w:r>
          <w:r>
            <w:rPr>
              <w:rStyle w:val="27"/>
            </w:rPr>
            <w:t>四、生态生活宜居工程</w:t>
          </w:r>
          <w:r>
            <w:tab/>
          </w:r>
          <w:r>
            <w:fldChar w:fldCharType="begin"/>
          </w:r>
          <w:r>
            <w:instrText xml:space="preserve"> PAGEREF _Toc77601469 \h </w:instrText>
          </w:r>
          <w:r>
            <w:fldChar w:fldCharType="separate"/>
          </w:r>
          <w:r>
            <w:t>81</w:t>
          </w:r>
          <w:r>
            <w:fldChar w:fldCharType="end"/>
          </w:r>
          <w:r>
            <w:fldChar w:fldCharType="end"/>
          </w:r>
        </w:p>
        <w:p>
          <w:pPr>
            <w:pStyle w:val="16"/>
            <w:tabs>
              <w:tab w:val="right" w:leader="dot" w:pos="8296"/>
            </w:tabs>
            <w:ind w:firstLine="0" w:firstLineChars="0"/>
            <w:rPr>
              <w:rFonts w:asciiTheme="minorHAnsi" w:hAnsiTheme="minorHAnsi" w:eastAsiaTheme="minorEastAsia" w:cstheme="minorBidi"/>
              <w:sz w:val="21"/>
            </w:rPr>
          </w:pPr>
          <w:r>
            <w:fldChar w:fldCharType="begin"/>
          </w:r>
          <w:r>
            <w:instrText xml:space="preserve"> HYPERLINK \l "_Toc77601470" </w:instrText>
          </w:r>
          <w:r>
            <w:fldChar w:fldCharType="separate"/>
          </w:r>
          <w:r>
            <w:rPr>
              <w:rStyle w:val="27"/>
            </w:rPr>
            <w:t>第五章  保障措施</w:t>
          </w:r>
          <w:r>
            <w:tab/>
          </w:r>
          <w:r>
            <w:fldChar w:fldCharType="begin"/>
          </w:r>
          <w:r>
            <w:instrText xml:space="preserve"> PAGEREF _Toc77601470 \h </w:instrText>
          </w:r>
          <w:r>
            <w:fldChar w:fldCharType="separate"/>
          </w:r>
          <w:r>
            <w:t>99</w:t>
          </w:r>
          <w:r>
            <w:fldChar w:fldCharType="end"/>
          </w:r>
          <w:r>
            <w:fldChar w:fldCharType="end"/>
          </w:r>
        </w:p>
        <w:p>
          <w:pPr>
            <w:pStyle w:val="19"/>
            <w:tabs>
              <w:tab w:val="right" w:leader="dot" w:pos="8296"/>
            </w:tabs>
            <w:ind w:left="0" w:leftChars="0" w:firstLine="280" w:firstLineChars="100"/>
            <w:rPr>
              <w:rFonts w:asciiTheme="minorHAnsi" w:hAnsiTheme="minorHAnsi" w:eastAsiaTheme="minorEastAsia" w:cstheme="minorBidi"/>
              <w:sz w:val="21"/>
            </w:rPr>
          </w:pPr>
          <w:r>
            <w:fldChar w:fldCharType="begin"/>
          </w:r>
          <w:r>
            <w:instrText xml:space="preserve"> HYPERLINK \l "_Toc77601471" </w:instrText>
          </w:r>
          <w:r>
            <w:fldChar w:fldCharType="separate"/>
          </w:r>
          <w:r>
            <w:rPr>
              <w:rStyle w:val="27"/>
            </w:rPr>
            <w:t>一、制度保障</w:t>
          </w:r>
          <w:r>
            <w:tab/>
          </w:r>
          <w:r>
            <w:fldChar w:fldCharType="begin"/>
          </w:r>
          <w:r>
            <w:instrText xml:space="preserve"> PAGEREF _Toc77601471 \h </w:instrText>
          </w:r>
          <w:r>
            <w:fldChar w:fldCharType="separate"/>
          </w:r>
          <w:r>
            <w:t>99</w:t>
          </w:r>
          <w:r>
            <w:fldChar w:fldCharType="end"/>
          </w:r>
          <w:r>
            <w:fldChar w:fldCharType="end"/>
          </w:r>
        </w:p>
        <w:p>
          <w:pPr>
            <w:pStyle w:val="19"/>
            <w:tabs>
              <w:tab w:val="right" w:leader="dot" w:pos="8296"/>
            </w:tabs>
            <w:ind w:left="0" w:leftChars="0" w:firstLine="280" w:firstLineChars="100"/>
            <w:rPr>
              <w:rFonts w:asciiTheme="minorHAnsi" w:hAnsiTheme="minorHAnsi" w:eastAsiaTheme="minorEastAsia" w:cstheme="minorBidi"/>
              <w:sz w:val="21"/>
            </w:rPr>
          </w:pPr>
          <w:r>
            <w:fldChar w:fldCharType="begin"/>
          </w:r>
          <w:r>
            <w:instrText xml:space="preserve"> HYPERLINK \l "_Toc77601476" </w:instrText>
          </w:r>
          <w:r>
            <w:fldChar w:fldCharType="separate"/>
          </w:r>
          <w:r>
            <w:rPr>
              <w:rStyle w:val="27"/>
            </w:rPr>
            <w:t>二、组织保障</w:t>
          </w:r>
          <w:r>
            <w:tab/>
          </w:r>
          <w:r>
            <w:fldChar w:fldCharType="begin"/>
          </w:r>
          <w:r>
            <w:instrText xml:space="preserve"> PAGEREF _Toc77601476 \h </w:instrText>
          </w:r>
          <w:r>
            <w:fldChar w:fldCharType="separate"/>
          </w:r>
          <w:r>
            <w:t>100</w:t>
          </w:r>
          <w:r>
            <w:fldChar w:fldCharType="end"/>
          </w:r>
          <w:r>
            <w:fldChar w:fldCharType="end"/>
          </w:r>
        </w:p>
        <w:p>
          <w:pPr>
            <w:pStyle w:val="19"/>
            <w:tabs>
              <w:tab w:val="right" w:leader="dot" w:pos="8296"/>
            </w:tabs>
            <w:ind w:left="0" w:leftChars="0" w:firstLine="280" w:firstLineChars="100"/>
            <w:rPr>
              <w:rFonts w:asciiTheme="minorHAnsi" w:hAnsiTheme="minorHAnsi" w:eastAsiaTheme="minorEastAsia" w:cstheme="minorBidi"/>
              <w:sz w:val="21"/>
            </w:rPr>
          </w:pPr>
          <w:r>
            <w:fldChar w:fldCharType="begin"/>
          </w:r>
          <w:r>
            <w:instrText xml:space="preserve"> HYPERLINK \l "_Toc77601477" </w:instrText>
          </w:r>
          <w:r>
            <w:fldChar w:fldCharType="separate"/>
          </w:r>
          <w:r>
            <w:rPr>
              <w:rStyle w:val="27"/>
            </w:rPr>
            <w:t>三、完善资金保障</w:t>
          </w:r>
          <w:r>
            <w:tab/>
          </w:r>
          <w:r>
            <w:fldChar w:fldCharType="begin"/>
          </w:r>
          <w:r>
            <w:instrText xml:space="preserve"> PAGEREF _Toc77601477 \h </w:instrText>
          </w:r>
          <w:r>
            <w:fldChar w:fldCharType="separate"/>
          </w:r>
          <w:r>
            <w:t>101</w:t>
          </w:r>
          <w:r>
            <w:fldChar w:fldCharType="end"/>
          </w:r>
          <w:r>
            <w:fldChar w:fldCharType="end"/>
          </w:r>
        </w:p>
        <w:p>
          <w:pPr>
            <w:pStyle w:val="19"/>
            <w:tabs>
              <w:tab w:val="right" w:leader="dot" w:pos="8296"/>
            </w:tabs>
            <w:ind w:left="0" w:leftChars="0" w:firstLine="280" w:firstLineChars="100"/>
            <w:rPr>
              <w:rFonts w:asciiTheme="minorHAnsi" w:hAnsiTheme="minorHAnsi" w:eastAsiaTheme="minorEastAsia" w:cstheme="minorBidi"/>
              <w:sz w:val="21"/>
            </w:rPr>
          </w:pPr>
          <w:r>
            <w:fldChar w:fldCharType="begin"/>
          </w:r>
          <w:r>
            <w:instrText xml:space="preserve"> HYPERLINK \l "_Toc77601478" </w:instrText>
          </w:r>
          <w:r>
            <w:fldChar w:fldCharType="separate"/>
          </w:r>
          <w:r>
            <w:rPr>
              <w:rStyle w:val="27"/>
            </w:rPr>
            <w:t>四、科技支撑</w:t>
          </w:r>
          <w:r>
            <w:tab/>
          </w:r>
          <w:r>
            <w:fldChar w:fldCharType="begin"/>
          </w:r>
          <w:r>
            <w:instrText xml:space="preserve"> PAGEREF _Toc77601478 \h </w:instrText>
          </w:r>
          <w:r>
            <w:fldChar w:fldCharType="separate"/>
          </w:r>
          <w:r>
            <w:t>101</w:t>
          </w:r>
          <w:r>
            <w:fldChar w:fldCharType="end"/>
          </w:r>
          <w:r>
            <w:fldChar w:fldCharType="end"/>
          </w:r>
        </w:p>
        <w:p>
          <w:pPr>
            <w:pStyle w:val="19"/>
            <w:tabs>
              <w:tab w:val="right" w:leader="dot" w:pos="8296"/>
            </w:tabs>
            <w:ind w:left="0" w:leftChars="0" w:firstLine="280" w:firstLineChars="100"/>
            <w:rPr>
              <w:rFonts w:asciiTheme="minorHAnsi" w:hAnsiTheme="minorHAnsi" w:eastAsiaTheme="minorEastAsia" w:cstheme="minorBidi"/>
              <w:sz w:val="21"/>
            </w:rPr>
          </w:pPr>
          <w:r>
            <w:fldChar w:fldCharType="begin"/>
          </w:r>
          <w:r>
            <w:instrText xml:space="preserve"> HYPERLINK \l "_Toc77601479" </w:instrText>
          </w:r>
          <w:r>
            <w:fldChar w:fldCharType="separate"/>
          </w:r>
          <w:r>
            <w:rPr>
              <w:rStyle w:val="27"/>
            </w:rPr>
            <w:t>五、公众参与</w:t>
          </w:r>
          <w:r>
            <w:tab/>
          </w:r>
          <w:r>
            <w:fldChar w:fldCharType="begin"/>
          </w:r>
          <w:r>
            <w:instrText xml:space="preserve"> PAGEREF _Toc77601479 \h </w:instrText>
          </w:r>
          <w:r>
            <w:fldChar w:fldCharType="separate"/>
          </w:r>
          <w:r>
            <w:t>102</w:t>
          </w:r>
          <w:r>
            <w:fldChar w:fldCharType="end"/>
          </w:r>
          <w:r>
            <w:fldChar w:fldCharType="end"/>
          </w:r>
        </w:p>
        <w:p>
          <w:pPr>
            <w:pStyle w:val="16"/>
            <w:tabs>
              <w:tab w:val="right" w:leader="dot" w:pos="8296"/>
            </w:tabs>
            <w:ind w:firstLine="0" w:firstLineChars="0"/>
            <w:rPr>
              <w:rFonts w:asciiTheme="minorHAnsi" w:hAnsiTheme="minorHAnsi" w:eastAsiaTheme="minorEastAsia" w:cstheme="minorBidi"/>
              <w:sz w:val="21"/>
            </w:rPr>
          </w:pPr>
          <w:r>
            <w:fldChar w:fldCharType="begin"/>
          </w:r>
          <w:r>
            <w:instrText xml:space="preserve"> HYPERLINK \l "_Toc77601480" </w:instrText>
          </w:r>
          <w:r>
            <w:fldChar w:fldCharType="separate"/>
          </w:r>
          <w:r>
            <w:rPr>
              <w:rStyle w:val="27"/>
            </w:rPr>
            <w:t>第六章  效益分析</w:t>
          </w:r>
          <w:r>
            <w:tab/>
          </w:r>
          <w:r>
            <w:fldChar w:fldCharType="begin"/>
          </w:r>
          <w:r>
            <w:instrText xml:space="preserve"> PAGEREF _Toc77601480 \h </w:instrText>
          </w:r>
          <w:r>
            <w:fldChar w:fldCharType="separate"/>
          </w:r>
          <w:r>
            <w:t>104</w:t>
          </w:r>
          <w:r>
            <w:fldChar w:fldCharType="end"/>
          </w:r>
          <w:r>
            <w:fldChar w:fldCharType="end"/>
          </w:r>
        </w:p>
        <w:p>
          <w:pPr>
            <w:pStyle w:val="19"/>
            <w:tabs>
              <w:tab w:val="right" w:leader="dot" w:pos="8296"/>
            </w:tabs>
            <w:ind w:left="0" w:leftChars="0" w:firstLine="280" w:firstLineChars="100"/>
            <w:rPr>
              <w:rFonts w:asciiTheme="minorHAnsi" w:hAnsiTheme="minorHAnsi" w:eastAsiaTheme="minorEastAsia" w:cstheme="minorBidi"/>
              <w:sz w:val="21"/>
            </w:rPr>
          </w:pPr>
          <w:r>
            <w:fldChar w:fldCharType="begin"/>
          </w:r>
          <w:r>
            <w:instrText xml:space="preserve"> HYPERLINK \l "_Toc77601481" </w:instrText>
          </w:r>
          <w:r>
            <w:fldChar w:fldCharType="separate"/>
          </w:r>
          <w:r>
            <w:rPr>
              <w:rStyle w:val="27"/>
              <w:rFonts w:ascii="宋体" w:hAnsi="宋体"/>
            </w:rPr>
            <w:t>一、</w:t>
          </w:r>
          <w:r>
            <w:rPr>
              <w:rStyle w:val="27"/>
            </w:rPr>
            <w:t>生态环境效益</w:t>
          </w:r>
          <w:r>
            <w:tab/>
          </w:r>
          <w:r>
            <w:fldChar w:fldCharType="begin"/>
          </w:r>
          <w:r>
            <w:instrText xml:space="preserve"> PAGEREF _Toc77601481 \h </w:instrText>
          </w:r>
          <w:r>
            <w:fldChar w:fldCharType="separate"/>
          </w:r>
          <w:r>
            <w:t>104</w:t>
          </w:r>
          <w:r>
            <w:fldChar w:fldCharType="end"/>
          </w:r>
          <w:r>
            <w:fldChar w:fldCharType="end"/>
          </w:r>
        </w:p>
        <w:p>
          <w:pPr>
            <w:pStyle w:val="10"/>
            <w:tabs>
              <w:tab w:val="right" w:leader="dot" w:pos="8296"/>
            </w:tabs>
            <w:ind w:left="398" w:leftChars="142" w:firstLine="198" w:firstLineChars="71"/>
            <w:rPr>
              <w:rFonts w:asciiTheme="minorHAnsi" w:hAnsiTheme="minorHAnsi" w:eastAsiaTheme="minorEastAsia" w:cstheme="minorBidi"/>
              <w:sz w:val="21"/>
            </w:rPr>
          </w:pPr>
          <w:r>
            <w:fldChar w:fldCharType="begin"/>
          </w:r>
          <w:r>
            <w:instrText xml:space="preserve"> HYPERLINK \l "_Toc77601482" </w:instrText>
          </w:r>
          <w:r>
            <w:fldChar w:fldCharType="separate"/>
          </w:r>
          <w:r>
            <w:rPr>
              <w:rStyle w:val="27"/>
            </w:rPr>
            <w:t>（一）生态环境可持续改善</w:t>
          </w:r>
          <w:r>
            <w:tab/>
          </w:r>
          <w:r>
            <w:fldChar w:fldCharType="begin"/>
          </w:r>
          <w:r>
            <w:instrText xml:space="preserve"> PAGEREF _Toc77601482 \h </w:instrText>
          </w:r>
          <w:r>
            <w:fldChar w:fldCharType="separate"/>
          </w:r>
          <w:r>
            <w:t>104</w:t>
          </w:r>
          <w:r>
            <w:fldChar w:fldCharType="end"/>
          </w:r>
          <w:r>
            <w:fldChar w:fldCharType="end"/>
          </w:r>
        </w:p>
        <w:p>
          <w:pPr>
            <w:pStyle w:val="10"/>
            <w:tabs>
              <w:tab w:val="right" w:leader="dot" w:pos="8296"/>
            </w:tabs>
            <w:ind w:left="398" w:leftChars="142" w:firstLine="198" w:firstLineChars="71"/>
            <w:rPr>
              <w:rFonts w:asciiTheme="minorHAnsi" w:hAnsiTheme="minorHAnsi" w:eastAsiaTheme="minorEastAsia" w:cstheme="minorBidi"/>
              <w:sz w:val="21"/>
            </w:rPr>
          </w:pPr>
          <w:r>
            <w:fldChar w:fldCharType="begin"/>
          </w:r>
          <w:r>
            <w:instrText xml:space="preserve"> HYPERLINK \l "_Toc77601483" </w:instrText>
          </w:r>
          <w:r>
            <w:fldChar w:fldCharType="separate"/>
          </w:r>
          <w:r>
            <w:rPr>
              <w:rStyle w:val="27"/>
            </w:rPr>
            <w:t>（二）环境污染可得到控制</w:t>
          </w:r>
          <w:r>
            <w:tab/>
          </w:r>
          <w:r>
            <w:fldChar w:fldCharType="begin"/>
          </w:r>
          <w:r>
            <w:instrText xml:space="preserve"> PAGEREF _Toc77601483 \h </w:instrText>
          </w:r>
          <w:r>
            <w:fldChar w:fldCharType="separate"/>
          </w:r>
          <w:r>
            <w:t>104</w:t>
          </w:r>
          <w:r>
            <w:fldChar w:fldCharType="end"/>
          </w:r>
          <w:r>
            <w:fldChar w:fldCharType="end"/>
          </w:r>
        </w:p>
        <w:p>
          <w:pPr>
            <w:pStyle w:val="10"/>
            <w:tabs>
              <w:tab w:val="right" w:leader="dot" w:pos="8296"/>
            </w:tabs>
            <w:ind w:left="398" w:leftChars="142" w:firstLine="198" w:firstLineChars="71"/>
            <w:rPr>
              <w:rFonts w:asciiTheme="minorHAnsi" w:hAnsiTheme="minorHAnsi" w:eastAsiaTheme="minorEastAsia" w:cstheme="minorBidi"/>
              <w:sz w:val="21"/>
            </w:rPr>
          </w:pPr>
          <w:r>
            <w:fldChar w:fldCharType="begin"/>
          </w:r>
          <w:r>
            <w:instrText xml:space="preserve"> HYPERLINK \l "_Toc77601484" </w:instrText>
          </w:r>
          <w:r>
            <w:fldChar w:fldCharType="separate"/>
          </w:r>
          <w:r>
            <w:rPr>
              <w:rStyle w:val="27"/>
            </w:rPr>
            <w:t>（三）环境质量可不断提高</w:t>
          </w:r>
          <w:r>
            <w:tab/>
          </w:r>
          <w:r>
            <w:fldChar w:fldCharType="begin"/>
          </w:r>
          <w:r>
            <w:instrText xml:space="preserve"> PAGEREF _Toc77601484 \h </w:instrText>
          </w:r>
          <w:r>
            <w:fldChar w:fldCharType="separate"/>
          </w:r>
          <w:r>
            <w:t>105</w:t>
          </w:r>
          <w:r>
            <w:fldChar w:fldCharType="end"/>
          </w:r>
          <w:r>
            <w:fldChar w:fldCharType="end"/>
          </w:r>
        </w:p>
        <w:p>
          <w:pPr>
            <w:pStyle w:val="19"/>
            <w:tabs>
              <w:tab w:val="right" w:leader="dot" w:pos="8296"/>
            </w:tabs>
            <w:ind w:left="0" w:leftChars="0" w:firstLine="280" w:firstLineChars="100"/>
            <w:rPr>
              <w:rFonts w:asciiTheme="minorHAnsi" w:hAnsiTheme="minorHAnsi" w:eastAsiaTheme="minorEastAsia" w:cstheme="minorBidi"/>
              <w:sz w:val="21"/>
            </w:rPr>
          </w:pPr>
          <w:r>
            <w:fldChar w:fldCharType="begin"/>
          </w:r>
          <w:r>
            <w:instrText xml:space="preserve"> HYPERLINK \l "_Toc77601485" </w:instrText>
          </w:r>
          <w:r>
            <w:fldChar w:fldCharType="separate"/>
          </w:r>
          <w:r>
            <w:rPr>
              <w:rStyle w:val="27"/>
              <w:rFonts w:ascii="宋体" w:hAnsi="宋体"/>
            </w:rPr>
            <w:t>二、</w:t>
          </w:r>
          <w:r>
            <w:rPr>
              <w:rStyle w:val="27"/>
            </w:rPr>
            <w:t>经济效益</w:t>
          </w:r>
          <w:r>
            <w:tab/>
          </w:r>
          <w:r>
            <w:fldChar w:fldCharType="begin"/>
          </w:r>
          <w:r>
            <w:instrText xml:space="preserve"> PAGEREF _Toc77601485 \h </w:instrText>
          </w:r>
          <w:r>
            <w:fldChar w:fldCharType="separate"/>
          </w:r>
          <w:r>
            <w:t>105</w:t>
          </w:r>
          <w:r>
            <w:fldChar w:fldCharType="end"/>
          </w:r>
          <w:r>
            <w:fldChar w:fldCharType="end"/>
          </w:r>
        </w:p>
        <w:p>
          <w:pPr>
            <w:pStyle w:val="10"/>
            <w:tabs>
              <w:tab w:val="right" w:leader="dot" w:pos="8296"/>
            </w:tabs>
            <w:ind w:left="0" w:leftChars="0" w:firstLine="560"/>
            <w:rPr>
              <w:rFonts w:asciiTheme="minorHAnsi" w:hAnsiTheme="minorHAnsi" w:eastAsiaTheme="minorEastAsia" w:cstheme="minorBidi"/>
              <w:sz w:val="21"/>
            </w:rPr>
          </w:pPr>
          <w:r>
            <w:fldChar w:fldCharType="begin"/>
          </w:r>
          <w:r>
            <w:instrText xml:space="preserve"> HYPERLINK \l "_Toc77601486" </w:instrText>
          </w:r>
          <w:r>
            <w:fldChar w:fldCharType="separate"/>
          </w:r>
          <w:r>
            <w:rPr>
              <w:rStyle w:val="27"/>
            </w:rPr>
            <w:t>（一）坚持绿色发展理念</w:t>
          </w:r>
          <w:r>
            <w:tab/>
          </w:r>
          <w:r>
            <w:fldChar w:fldCharType="begin"/>
          </w:r>
          <w:r>
            <w:instrText xml:space="preserve"> PAGEREF _Toc77601486 \h </w:instrText>
          </w:r>
          <w:r>
            <w:fldChar w:fldCharType="separate"/>
          </w:r>
          <w:r>
            <w:t>105</w:t>
          </w:r>
          <w:r>
            <w:fldChar w:fldCharType="end"/>
          </w:r>
          <w:r>
            <w:fldChar w:fldCharType="end"/>
          </w:r>
        </w:p>
        <w:p>
          <w:pPr>
            <w:pStyle w:val="10"/>
            <w:tabs>
              <w:tab w:val="right" w:leader="dot" w:pos="8296"/>
            </w:tabs>
            <w:ind w:left="0" w:leftChars="0" w:firstLine="560"/>
            <w:rPr>
              <w:rFonts w:asciiTheme="minorHAnsi" w:hAnsiTheme="minorHAnsi" w:eastAsiaTheme="minorEastAsia" w:cstheme="minorBidi"/>
              <w:sz w:val="21"/>
            </w:rPr>
          </w:pPr>
          <w:r>
            <w:fldChar w:fldCharType="begin"/>
          </w:r>
          <w:r>
            <w:instrText xml:space="preserve"> HYPERLINK \l "_Toc77601487" </w:instrText>
          </w:r>
          <w:r>
            <w:fldChar w:fldCharType="separate"/>
          </w:r>
          <w:r>
            <w:rPr>
              <w:rStyle w:val="27"/>
            </w:rPr>
            <w:t>（二）实施生态农业战略</w:t>
          </w:r>
          <w:r>
            <w:tab/>
          </w:r>
          <w:r>
            <w:fldChar w:fldCharType="begin"/>
          </w:r>
          <w:r>
            <w:instrText xml:space="preserve"> PAGEREF _Toc77601487 \h </w:instrText>
          </w:r>
          <w:r>
            <w:fldChar w:fldCharType="separate"/>
          </w:r>
          <w:r>
            <w:t>106</w:t>
          </w:r>
          <w:r>
            <w:fldChar w:fldCharType="end"/>
          </w:r>
          <w:r>
            <w:fldChar w:fldCharType="end"/>
          </w:r>
        </w:p>
        <w:p>
          <w:pPr>
            <w:pStyle w:val="10"/>
            <w:tabs>
              <w:tab w:val="right" w:leader="dot" w:pos="8296"/>
            </w:tabs>
            <w:ind w:left="0" w:leftChars="0" w:firstLine="560"/>
            <w:rPr>
              <w:rFonts w:asciiTheme="minorHAnsi" w:hAnsiTheme="minorHAnsi" w:eastAsiaTheme="minorEastAsia" w:cstheme="minorBidi"/>
              <w:sz w:val="21"/>
            </w:rPr>
          </w:pPr>
          <w:r>
            <w:fldChar w:fldCharType="begin"/>
          </w:r>
          <w:r>
            <w:instrText xml:space="preserve"> HYPERLINK \l "_Toc77601488" </w:instrText>
          </w:r>
          <w:r>
            <w:fldChar w:fldCharType="separate"/>
          </w:r>
          <w:r>
            <w:rPr>
              <w:rStyle w:val="27"/>
            </w:rPr>
            <w:t>（三）减少生态经济损失</w:t>
          </w:r>
          <w:r>
            <w:tab/>
          </w:r>
          <w:r>
            <w:fldChar w:fldCharType="begin"/>
          </w:r>
          <w:r>
            <w:instrText xml:space="preserve"> PAGEREF _Toc77601488 \h </w:instrText>
          </w:r>
          <w:r>
            <w:fldChar w:fldCharType="separate"/>
          </w:r>
          <w:r>
            <w:t>106</w:t>
          </w:r>
          <w:r>
            <w:fldChar w:fldCharType="end"/>
          </w:r>
          <w:r>
            <w:fldChar w:fldCharType="end"/>
          </w:r>
        </w:p>
        <w:p>
          <w:pPr>
            <w:pStyle w:val="19"/>
            <w:tabs>
              <w:tab w:val="right" w:leader="dot" w:pos="8296"/>
            </w:tabs>
            <w:ind w:left="0" w:leftChars="0" w:firstLine="280" w:firstLineChars="100"/>
            <w:rPr>
              <w:rFonts w:asciiTheme="minorHAnsi" w:hAnsiTheme="minorHAnsi" w:eastAsiaTheme="minorEastAsia" w:cstheme="minorBidi"/>
              <w:sz w:val="21"/>
            </w:rPr>
          </w:pPr>
          <w:r>
            <w:fldChar w:fldCharType="begin"/>
          </w:r>
          <w:r>
            <w:instrText xml:space="preserve"> HYPERLINK \l "_Toc77601489" </w:instrText>
          </w:r>
          <w:r>
            <w:fldChar w:fldCharType="separate"/>
          </w:r>
          <w:r>
            <w:rPr>
              <w:rStyle w:val="27"/>
              <w:rFonts w:ascii="宋体" w:hAnsi="宋体"/>
            </w:rPr>
            <w:t>三、</w:t>
          </w:r>
          <w:r>
            <w:rPr>
              <w:rStyle w:val="27"/>
            </w:rPr>
            <w:t>社会效益</w:t>
          </w:r>
          <w:r>
            <w:tab/>
          </w:r>
          <w:r>
            <w:fldChar w:fldCharType="begin"/>
          </w:r>
          <w:r>
            <w:instrText xml:space="preserve"> PAGEREF _Toc77601489 \h </w:instrText>
          </w:r>
          <w:r>
            <w:fldChar w:fldCharType="separate"/>
          </w:r>
          <w:r>
            <w:t>107</w:t>
          </w:r>
          <w:r>
            <w:fldChar w:fldCharType="end"/>
          </w:r>
          <w:r>
            <w:fldChar w:fldCharType="end"/>
          </w:r>
        </w:p>
        <w:p>
          <w:pPr>
            <w:pStyle w:val="10"/>
            <w:tabs>
              <w:tab w:val="right" w:leader="dot" w:pos="8296"/>
            </w:tabs>
            <w:ind w:left="0" w:leftChars="0" w:firstLine="560"/>
            <w:rPr>
              <w:rFonts w:asciiTheme="minorHAnsi" w:hAnsiTheme="minorHAnsi" w:eastAsiaTheme="minorEastAsia" w:cstheme="minorBidi"/>
              <w:sz w:val="21"/>
            </w:rPr>
          </w:pPr>
          <w:r>
            <w:fldChar w:fldCharType="begin"/>
          </w:r>
          <w:r>
            <w:instrText xml:space="preserve"> HYPERLINK \l "_Toc77601490" </w:instrText>
          </w:r>
          <w:r>
            <w:fldChar w:fldCharType="separate"/>
          </w:r>
          <w:r>
            <w:rPr>
              <w:rStyle w:val="27"/>
            </w:rPr>
            <w:t>（一）投资环境可明显改善</w:t>
          </w:r>
          <w:r>
            <w:tab/>
          </w:r>
          <w:r>
            <w:fldChar w:fldCharType="begin"/>
          </w:r>
          <w:r>
            <w:instrText xml:space="preserve"> PAGEREF _Toc77601490 \h </w:instrText>
          </w:r>
          <w:r>
            <w:fldChar w:fldCharType="separate"/>
          </w:r>
          <w:r>
            <w:t>107</w:t>
          </w:r>
          <w:r>
            <w:fldChar w:fldCharType="end"/>
          </w:r>
          <w:r>
            <w:fldChar w:fldCharType="end"/>
          </w:r>
        </w:p>
        <w:p>
          <w:pPr>
            <w:pStyle w:val="10"/>
            <w:tabs>
              <w:tab w:val="right" w:leader="dot" w:pos="8296"/>
            </w:tabs>
            <w:ind w:left="0" w:leftChars="0" w:firstLine="560"/>
            <w:rPr>
              <w:rFonts w:asciiTheme="minorHAnsi" w:hAnsiTheme="minorHAnsi" w:eastAsiaTheme="minorEastAsia" w:cstheme="minorBidi"/>
              <w:sz w:val="21"/>
            </w:rPr>
          </w:pPr>
          <w:r>
            <w:fldChar w:fldCharType="begin"/>
          </w:r>
          <w:r>
            <w:instrText xml:space="preserve"> HYPERLINK \l "_Toc77601491" </w:instrText>
          </w:r>
          <w:r>
            <w:fldChar w:fldCharType="separate"/>
          </w:r>
          <w:r>
            <w:rPr>
              <w:rStyle w:val="27"/>
            </w:rPr>
            <w:t>（二）生活质量可明显提高</w:t>
          </w:r>
          <w:r>
            <w:tab/>
          </w:r>
          <w:r>
            <w:fldChar w:fldCharType="begin"/>
          </w:r>
          <w:r>
            <w:instrText xml:space="preserve"> PAGEREF _Toc77601491 \h </w:instrText>
          </w:r>
          <w:r>
            <w:fldChar w:fldCharType="separate"/>
          </w:r>
          <w:r>
            <w:t>107</w:t>
          </w:r>
          <w:r>
            <w:fldChar w:fldCharType="end"/>
          </w:r>
          <w:r>
            <w:fldChar w:fldCharType="end"/>
          </w:r>
        </w:p>
        <w:p>
          <w:pPr>
            <w:pStyle w:val="10"/>
            <w:tabs>
              <w:tab w:val="right" w:leader="dot" w:pos="8296"/>
            </w:tabs>
            <w:ind w:left="0" w:leftChars="0" w:firstLine="560"/>
            <w:rPr>
              <w:rFonts w:asciiTheme="minorHAnsi" w:hAnsiTheme="minorHAnsi" w:eastAsiaTheme="minorEastAsia" w:cstheme="minorBidi"/>
              <w:sz w:val="21"/>
            </w:rPr>
          </w:pPr>
          <w:r>
            <w:fldChar w:fldCharType="begin"/>
          </w:r>
          <w:r>
            <w:instrText xml:space="preserve"> HYPERLINK \l "_Toc77601492" </w:instrText>
          </w:r>
          <w:r>
            <w:fldChar w:fldCharType="separate"/>
          </w:r>
          <w:r>
            <w:rPr>
              <w:rStyle w:val="27"/>
              <w:rFonts w:ascii="宋体" w:hAnsi="宋体"/>
              <w:kern w:val="44"/>
            </w:rPr>
            <w:t>（三）</w:t>
          </w:r>
          <w:r>
            <w:rPr>
              <w:rStyle w:val="27"/>
            </w:rPr>
            <w:t>人口素质可明显增强</w:t>
          </w:r>
          <w:r>
            <w:tab/>
          </w:r>
          <w:r>
            <w:fldChar w:fldCharType="begin"/>
          </w:r>
          <w:r>
            <w:instrText xml:space="preserve"> PAGEREF _Toc77601492 \h </w:instrText>
          </w:r>
          <w:r>
            <w:fldChar w:fldCharType="separate"/>
          </w:r>
          <w:r>
            <w:t>108</w:t>
          </w:r>
          <w:r>
            <w:fldChar w:fldCharType="end"/>
          </w:r>
          <w:r>
            <w:fldChar w:fldCharType="end"/>
          </w:r>
        </w:p>
        <w:p>
          <w:pPr>
            <w:pStyle w:val="16"/>
            <w:tabs>
              <w:tab w:val="right" w:leader="dot" w:pos="8296"/>
            </w:tabs>
            <w:ind w:firstLine="0" w:firstLineChars="0"/>
            <w:rPr>
              <w:rFonts w:asciiTheme="minorHAnsi" w:hAnsiTheme="minorHAnsi" w:eastAsiaTheme="minorEastAsia" w:cstheme="minorBidi"/>
              <w:sz w:val="21"/>
            </w:rPr>
          </w:pPr>
          <w:r>
            <w:fldChar w:fldCharType="begin"/>
          </w:r>
          <w:r>
            <w:instrText xml:space="preserve"> HYPERLINK \l "_Toc77601493" </w:instrText>
          </w:r>
          <w:r>
            <w:fldChar w:fldCharType="separate"/>
          </w:r>
          <w:r>
            <w:rPr>
              <w:rStyle w:val="27"/>
              <w:rFonts w:ascii="宋体" w:hAnsi="宋体" w:cs="Times New Roman"/>
              <w:b/>
              <w:bCs/>
              <w:kern w:val="0"/>
            </w:rPr>
            <w:t>附 图</w:t>
          </w:r>
          <w:r>
            <w:tab/>
          </w:r>
          <w:r>
            <w:fldChar w:fldCharType="begin"/>
          </w:r>
          <w:r>
            <w:instrText xml:space="preserve"> PAGEREF _Toc77601493 \h </w:instrText>
          </w:r>
          <w:r>
            <w:fldChar w:fldCharType="separate"/>
          </w:r>
          <w:r>
            <w:t>109</w:t>
          </w:r>
          <w:r>
            <w:fldChar w:fldCharType="end"/>
          </w:r>
          <w:r>
            <w:fldChar w:fldCharType="end"/>
          </w:r>
        </w:p>
        <w:p>
          <w:pPr>
            <w:ind w:firstLine="562"/>
          </w:pPr>
          <w:r>
            <w:rPr>
              <w:b/>
              <w:bCs/>
              <w:lang w:val="zh-CN"/>
            </w:rPr>
            <w:fldChar w:fldCharType="end"/>
          </w:r>
        </w:p>
      </w:sdtContent>
    </w:sdt>
    <w:p>
      <w:pPr>
        <w:ind w:firstLine="560"/>
      </w:pPr>
    </w:p>
    <w:p>
      <w:pPr>
        <w:pStyle w:val="16"/>
        <w:tabs>
          <w:tab w:val="right" w:leader="dot" w:pos="8296"/>
        </w:tabs>
        <w:ind w:firstLine="420"/>
        <w:rPr>
          <w:rFonts w:asciiTheme="minorHAnsi" w:hAnsiTheme="minorHAnsi" w:eastAsiaTheme="minorEastAsia" w:cstheme="minorBidi"/>
          <w:sz w:val="21"/>
        </w:rPr>
      </w:pPr>
      <w:r>
        <w:rPr>
          <w:rFonts w:ascii="Times New Roman" w:hAnsi="Times New Roman" w:cs="Times New Roman" w:eastAsiaTheme="minorEastAsia"/>
          <w:sz w:val="21"/>
          <w:szCs w:val="28"/>
        </w:rPr>
        <w:fldChar w:fldCharType="begin"/>
      </w:r>
      <w:r>
        <w:rPr>
          <w:rFonts w:ascii="Times New Roman" w:hAnsi="Times New Roman" w:cs="Times New Roman" w:eastAsiaTheme="minorEastAsia"/>
          <w:sz w:val="21"/>
          <w:szCs w:val="28"/>
        </w:rPr>
        <w:instrText xml:space="preserve"> TOC \o "1-2" \h \z \u </w:instrText>
      </w:r>
      <w:r>
        <w:rPr>
          <w:rFonts w:ascii="Times New Roman" w:hAnsi="Times New Roman" w:cs="Times New Roman" w:eastAsiaTheme="minorEastAsia"/>
          <w:sz w:val="21"/>
          <w:szCs w:val="28"/>
        </w:rPr>
        <w:fldChar w:fldCharType="separate"/>
      </w:r>
    </w:p>
    <w:p>
      <w:pPr>
        <w:widowControl/>
        <w:ind w:firstLine="420"/>
        <w:jc w:val="left"/>
        <w:rPr>
          <w:rFonts w:ascii="Times New Roman" w:hAnsi="Times New Roman" w:cs="Times New Roman"/>
          <w:szCs w:val="28"/>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titlePg/>
          <w:docGrid w:type="lines" w:linePitch="435" w:charSpace="0"/>
        </w:sectPr>
      </w:pPr>
      <w:r>
        <w:rPr>
          <w:rFonts w:ascii="Times New Roman" w:hAnsi="Times New Roman" w:cs="Times New Roman" w:eastAsiaTheme="minorEastAsia"/>
          <w:sz w:val="21"/>
          <w:szCs w:val="28"/>
        </w:rPr>
        <w:fldChar w:fldCharType="end"/>
      </w:r>
    </w:p>
    <w:p>
      <w:pPr>
        <w:widowControl/>
        <w:shd w:val="clear" w:color="auto" w:fill="FFFFFF"/>
        <w:adjustRightInd w:val="0"/>
        <w:snapToGrid w:val="0"/>
        <w:spacing w:after="217" w:afterLines="50" w:line="600" w:lineRule="exact"/>
        <w:ind w:firstLine="0" w:firstLineChars="0"/>
        <w:jc w:val="center"/>
        <w:outlineLvl w:val="0"/>
        <w:rPr>
          <w:rFonts w:ascii="宋体" w:hAnsi="宋体" w:cs="Times New Roman"/>
          <w:b/>
          <w:bCs/>
          <w:kern w:val="0"/>
          <w:sz w:val="44"/>
          <w:szCs w:val="44"/>
        </w:rPr>
      </w:pPr>
      <w:bookmarkStart w:id="4" w:name="_Toc77600807"/>
      <w:bookmarkStart w:id="5" w:name="_Toc77601130"/>
      <w:bookmarkStart w:id="6" w:name="_Toc77601312"/>
      <w:r>
        <w:rPr>
          <w:rFonts w:hint="eastAsia" w:ascii="宋体" w:hAnsi="宋体" w:cs="Times New Roman"/>
          <w:b/>
          <w:bCs/>
          <w:kern w:val="0"/>
          <w:sz w:val="44"/>
          <w:szCs w:val="44"/>
        </w:rPr>
        <w:t>前 言</w:t>
      </w:r>
      <w:bookmarkEnd w:id="4"/>
      <w:bookmarkEnd w:id="5"/>
      <w:bookmarkEnd w:id="6"/>
    </w:p>
    <w:p>
      <w:pPr>
        <w:ind w:firstLine="560"/>
        <w:rPr>
          <w:rFonts w:ascii="Times New Roman" w:hAnsi="Times New Roman" w:cs="Times New Roman"/>
          <w:szCs w:val="28"/>
        </w:rPr>
      </w:pPr>
      <w:r>
        <w:rPr>
          <w:rFonts w:ascii="Times New Roman" w:hAnsi="Times New Roman" w:cs="Times New Roman"/>
          <w:szCs w:val="28"/>
        </w:rPr>
        <w:t>生态文明建设是中国特色社会主义事业</w:t>
      </w:r>
      <w:r>
        <w:rPr>
          <w:rFonts w:hint="eastAsia" w:ascii="Times New Roman" w:hAnsi="Times New Roman" w:cs="Times New Roman"/>
          <w:szCs w:val="28"/>
        </w:rPr>
        <w:t>“</w:t>
      </w:r>
      <w:r>
        <w:rPr>
          <w:rFonts w:ascii="Times New Roman" w:hAnsi="Times New Roman" w:cs="Times New Roman"/>
          <w:szCs w:val="28"/>
        </w:rPr>
        <w:t>五位一体</w:t>
      </w:r>
      <w:r>
        <w:rPr>
          <w:rFonts w:hint="eastAsia" w:ascii="Times New Roman" w:hAnsi="Times New Roman" w:cs="Times New Roman"/>
          <w:szCs w:val="28"/>
        </w:rPr>
        <w:t>”</w:t>
      </w:r>
      <w:r>
        <w:rPr>
          <w:rFonts w:ascii="Times New Roman" w:hAnsi="Times New Roman" w:cs="Times New Roman"/>
          <w:szCs w:val="28"/>
        </w:rPr>
        <w:t>总体布局的重要内容，是关系人民福祉，关乎民族未来的头等大事。党的十八大以来，习近平同志把生态文明建设作为中国特色社会主义</w:t>
      </w:r>
      <w:r>
        <w:rPr>
          <w:rFonts w:hint="eastAsia" w:ascii="Times New Roman" w:hAnsi="Times New Roman" w:cs="Times New Roman"/>
          <w:szCs w:val="28"/>
        </w:rPr>
        <w:t>“</w:t>
      </w:r>
      <w:r>
        <w:rPr>
          <w:rFonts w:ascii="Times New Roman" w:hAnsi="Times New Roman" w:cs="Times New Roman"/>
          <w:szCs w:val="28"/>
        </w:rPr>
        <w:t>五位一体</w:t>
      </w:r>
      <w:r>
        <w:rPr>
          <w:rFonts w:hint="eastAsia" w:ascii="Times New Roman" w:hAnsi="Times New Roman" w:cs="Times New Roman"/>
          <w:szCs w:val="28"/>
        </w:rPr>
        <w:t>”</w:t>
      </w:r>
      <w:r>
        <w:rPr>
          <w:rFonts w:ascii="Times New Roman" w:hAnsi="Times New Roman" w:cs="Times New Roman"/>
          <w:szCs w:val="28"/>
        </w:rPr>
        <w:t>总体布局和</w:t>
      </w:r>
      <w:r>
        <w:rPr>
          <w:rFonts w:hint="eastAsia" w:ascii="Times New Roman" w:hAnsi="Times New Roman" w:cs="Times New Roman"/>
          <w:szCs w:val="28"/>
        </w:rPr>
        <w:t>“</w:t>
      </w:r>
      <w:r>
        <w:rPr>
          <w:rFonts w:ascii="Times New Roman" w:hAnsi="Times New Roman" w:cs="Times New Roman"/>
          <w:szCs w:val="28"/>
        </w:rPr>
        <w:t>四个全面</w:t>
      </w:r>
      <w:r>
        <w:rPr>
          <w:rFonts w:hint="eastAsia" w:ascii="Times New Roman" w:hAnsi="Times New Roman" w:cs="Times New Roman"/>
          <w:szCs w:val="28"/>
        </w:rPr>
        <w:t>”</w:t>
      </w:r>
      <w:r>
        <w:rPr>
          <w:rFonts w:ascii="Times New Roman" w:hAnsi="Times New Roman" w:cs="Times New Roman"/>
          <w:szCs w:val="28"/>
        </w:rPr>
        <w:t>战略布局的重要内容，作为重大民生实事紧紧抓在手上，生态文明建设的地位和作用更加突显，生态环境保护取得重大成就。</w:t>
      </w:r>
      <w:bookmarkStart w:id="7" w:name="_Hlk72941193"/>
      <w:r>
        <w:rPr>
          <w:rFonts w:ascii="Times New Roman" w:hAnsi="Times New Roman" w:cs="Times New Roman"/>
          <w:szCs w:val="28"/>
        </w:rPr>
        <w:t>习近平总书记在党的十九大报告中指出，人与自然是生命共同体，要加快生态文明体制改革，坚决打好污染防治攻坚战，建设富强民主文明和谐美丽的社会主义现代化强国。面对资源约束趋紧、环境污染严重、生态系统退化的严峻形势，中共中央、国务院提出了一系列推动生态文明建设的新思路、新要求，生态环境部按照中央相关要求，以国家生态文明建设示范市创建为抓手，在全国纵深推进生态文明建设，取得丰硕成果。</w:t>
      </w:r>
      <w:bookmarkEnd w:id="7"/>
      <w:r>
        <w:rPr>
          <w:rFonts w:ascii="Times New Roman" w:hAnsi="Times New Roman" w:cs="Times New Roman"/>
          <w:szCs w:val="28"/>
        </w:rPr>
        <w:t>黑龙江省委省政府牢记习近平总书记嘱托，解放思想锐意进取、深化改革破解矛盾，全面实行河湖长制，加快国有林区改革，调整产业结构，淘汰高污染落后产能，发展绿色产业，越来越多的绿色优势转化为经济优势，走出一条以生态强省推动经济高质量发展，助力东北老工业基地全面振兴全方位振兴之路。</w:t>
      </w:r>
    </w:p>
    <w:p>
      <w:pPr>
        <w:widowControl/>
        <w:ind w:firstLine="560"/>
        <w:rPr>
          <w:rFonts w:ascii="Times New Roman" w:hAnsi="Times New Roman" w:cs="Times New Roman"/>
          <w:szCs w:val="28"/>
        </w:rPr>
      </w:pPr>
      <w:r>
        <w:rPr>
          <w:rFonts w:ascii="Times New Roman" w:hAnsi="Times New Roman" w:cs="Times New Roman"/>
          <w:szCs w:val="28"/>
        </w:rPr>
        <w:t>抚远市地处黑龙江、乌苏里江交汇的三角地带，</w:t>
      </w:r>
      <w:r>
        <w:rPr>
          <w:rFonts w:hint="eastAsia" w:ascii="Times New Roman" w:hAnsi="Times New Roman" w:cs="Times New Roman"/>
          <w:szCs w:val="28"/>
        </w:rPr>
        <w:t>地理</w:t>
      </w:r>
      <w:r>
        <w:rPr>
          <w:rFonts w:ascii="Times New Roman" w:hAnsi="Times New Roman" w:cs="Times New Roman"/>
          <w:szCs w:val="28"/>
        </w:rPr>
        <w:t>位置得天独厚，素有</w:t>
      </w:r>
      <w:r>
        <w:rPr>
          <w:rFonts w:hint="eastAsia" w:ascii="Times New Roman" w:hAnsi="Times New Roman" w:cs="Times New Roman"/>
          <w:szCs w:val="28"/>
        </w:rPr>
        <w:t>“</w:t>
      </w:r>
      <w:r>
        <w:rPr>
          <w:rFonts w:ascii="Times New Roman" w:hAnsi="Times New Roman" w:cs="Times New Roman"/>
          <w:szCs w:val="28"/>
        </w:rPr>
        <w:t>华夏东极</w:t>
      </w:r>
      <w:r>
        <w:rPr>
          <w:rFonts w:hint="eastAsia" w:ascii="Times New Roman" w:hAnsi="Times New Roman" w:cs="Times New Roman"/>
          <w:szCs w:val="28"/>
        </w:rPr>
        <w:t>”</w:t>
      </w:r>
      <w:r>
        <w:rPr>
          <w:rFonts w:ascii="Times New Roman" w:hAnsi="Times New Roman" w:cs="Times New Roman"/>
          <w:szCs w:val="28"/>
        </w:rPr>
        <w:t>和</w:t>
      </w:r>
      <w:r>
        <w:rPr>
          <w:rFonts w:hint="eastAsia" w:ascii="Times New Roman" w:hAnsi="Times New Roman" w:cs="Times New Roman"/>
          <w:szCs w:val="28"/>
        </w:rPr>
        <w:t>“</w:t>
      </w:r>
      <w:r>
        <w:rPr>
          <w:rFonts w:ascii="Times New Roman" w:hAnsi="Times New Roman" w:cs="Times New Roman"/>
          <w:szCs w:val="28"/>
        </w:rPr>
        <w:t>太阳的故乡</w:t>
      </w:r>
      <w:r>
        <w:rPr>
          <w:rFonts w:hint="eastAsia" w:ascii="Times New Roman" w:hAnsi="Times New Roman" w:cs="Times New Roman"/>
          <w:szCs w:val="28"/>
        </w:rPr>
        <w:t>”</w:t>
      </w:r>
      <w:r>
        <w:rPr>
          <w:rFonts w:ascii="Times New Roman" w:hAnsi="Times New Roman" w:cs="Times New Roman"/>
          <w:szCs w:val="28"/>
        </w:rPr>
        <w:t>之美誉。抚远市是国家级生态示范区，生态资源保存完好，生态环境优美，境内有中国最大湿地</w:t>
      </w:r>
      <w:r>
        <w:rPr>
          <w:rFonts w:hint="eastAsia" w:ascii="Times New Roman" w:hAnsi="Times New Roman" w:cs="Times New Roman"/>
          <w:szCs w:val="28"/>
        </w:rPr>
        <w:t>—</w:t>
      </w:r>
      <w:r>
        <w:rPr>
          <w:rFonts w:ascii="Times New Roman" w:hAnsi="Times New Roman" w:cs="Times New Roman"/>
          <w:szCs w:val="28"/>
        </w:rPr>
        <w:t>三江湿地。着力打造</w:t>
      </w:r>
      <w:r>
        <w:rPr>
          <w:rFonts w:hint="eastAsia" w:ascii="Times New Roman" w:hAnsi="Times New Roman" w:cs="Times New Roman"/>
          <w:szCs w:val="28"/>
        </w:rPr>
        <w:t>“</w:t>
      </w:r>
      <w:r>
        <w:rPr>
          <w:rFonts w:ascii="Times New Roman" w:hAnsi="Times New Roman" w:cs="Times New Roman"/>
          <w:szCs w:val="28"/>
        </w:rPr>
        <w:t>华夏东极</w:t>
      </w:r>
      <w:r>
        <w:rPr>
          <w:rFonts w:hint="eastAsia" w:ascii="Times New Roman" w:hAnsi="Times New Roman" w:cs="Times New Roman"/>
          <w:szCs w:val="28"/>
        </w:rPr>
        <w:t>”“</w:t>
      </w:r>
      <w:r>
        <w:rPr>
          <w:rFonts w:ascii="Times New Roman" w:hAnsi="Times New Roman" w:cs="Times New Roman"/>
          <w:szCs w:val="28"/>
        </w:rPr>
        <w:t>两国一岛</w:t>
      </w:r>
      <w:r>
        <w:rPr>
          <w:rFonts w:hint="eastAsia" w:ascii="Times New Roman" w:hAnsi="Times New Roman" w:cs="Times New Roman"/>
          <w:szCs w:val="28"/>
        </w:rPr>
        <w:t>”“</w:t>
      </w:r>
      <w:r>
        <w:rPr>
          <w:rFonts w:ascii="Times New Roman" w:hAnsi="Times New Roman" w:cs="Times New Roman"/>
          <w:szCs w:val="28"/>
        </w:rPr>
        <w:t>两江双城</w:t>
      </w:r>
      <w:r>
        <w:rPr>
          <w:rFonts w:hint="eastAsia" w:ascii="Times New Roman" w:hAnsi="Times New Roman" w:cs="Times New Roman"/>
          <w:szCs w:val="28"/>
        </w:rPr>
        <w:t>”“</w:t>
      </w:r>
      <w:r>
        <w:rPr>
          <w:rFonts w:ascii="Times New Roman" w:hAnsi="Times New Roman" w:cs="Times New Roman"/>
          <w:szCs w:val="28"/>
        </w:rPr>
        <w:t>淡水鱼都</w:t>
      </w:r>
      <w:r>
        <w:rPr>
          <w:rFonts w:hint="eastAsia" w:ascii="Times New Roman" w:hAnsi="Times New Roman" w:cs="Times New Roman"/>
          <w:szCs w:val="28"/>
        </w:rPr>
        <w:t>”</w:t>
      </w:r>
      <w:r>
        <w:rPr>
          <w:rFonts w:ascii="Times New Roman" w:hAnsi="Times New Roman" w:cs="Times New Roman"/>
          <w:szCs w:val="28"/>
        </w:rPr>
        <w:t>四张名片。</w:t>
      </w:r>
      <w:r>
        <w:rPr>
          <w:rFonts w:hint="eastAsia" w:ascii="Times New Roman" w:hAnsi="Times New Roman" w:cs="Times New Roman"/>
          <w:szCs w:val="28"/>
        </w:rPr>
        <w:t>2016年，习近平总书记登上黑瞎子岛强调黑瞎子岛重在生态保护，在保护基础上建设一些基础设施和发展旅游</w:t>
      </w:r>
      <w:r>
        <w:rPr>
          <w:rFonts w:ascii="Times New Roman" w:hAnsi="Times New Roman" w:cs="Times New Roman"/>
          <w:szCs w:val="28"/>
        </w:rPr>
        <w:t>。近年来，抚远市生态恢复与综合整治工作顺利推进，加大了关停废弃矿山、植被恢复和污染源控制力度，在农业面源污染治理、界江水体污染整治、工业废水污染治理等工程等方面取得成效。</w:t>
      </w:r>
      <w:r>
        <w:rPr>
          <w:rFonts w:hint="eastAsia" w:ascii="Times New Roman" w:hAnsi="Times New Roman" w:cs="Times New Roman"/>
          <w:szCs w:val="28"/>
        </w:rPr>
        <w:t>抚远市</w:t>
      </w:r>
      <w:r>
        <w:rPr>
          <w:rFonts w:ascii="Times New Roman" w:hAnsi="Times New Roman" w:cs="Times New Roman"/>
          <w:szCs w:val="28"/>
        </w:rPr>
        <w:t>坚持绿水青山就是金山银山理念，坚持尊重自然、顺应自然、保护自然，深入实施可持续发展战略，守住自然生态安全边界，提升天蓝、地绿、水净生态环境，加快形成绿色发展方式，争创国家生态文明建设示范市，打造东北地区生态文明建设展示窗口。</w:t>
      </w:r>
    </w:p>
    <w:p>
      <w:pPr>
        <w:ind w:firstLine="560"/>
        <w:rPr>
          <w:rFonts w:ascii="Times New Roman" w:hAnsi="Times New Roman" w:cs="Times New Roman"/>
          <w:szCs w:val="28"/>
        </w:rPr>
      </w:pPr>
      <w:r>
        <w:rPr>
          <w:rFonts w:ascii="Times New Roman" w:hAnsi="Times New Roman" w:cs="Times New Roman"/>
          <w:szCs w:val="28"/>
        </w:rPr>
        <w:t>为贯彻落实习近平生态文明思想，深入推动抚远市生态文明建设示范市创建工作，抚远市组织编制《抚远市生态文明建设规划（2020-2025年）》（以下简称《规划》），《规划》以《国家生态文明建设示范市县建设指标》（环生态〔2019〕76号）为依据，坚持</w:t>
      </w:r>
      <w:r>
        <w:rPr>
          <w:rFonts w:hint="eastAsia" w:ascii="Times New Roman" w:hAnsi="Times New Roman" w:cs="Times New Roman"/>
          <w:szCs w:val="28"/>
        </w:rPr>
        <w:t>“</w:t>
      </w:r>
      <w:r>
        <w:rPr>
          <w:rFonts w:ascii="Times New Roman" w:hAnsi="Times New Roman" w:cs="Times New Roman"/>
          <w:szCs w:val="28"/>
        </w:rPr>
        <w:t>多规合一</w:t>
      </w:r>
      <w:r>
        <w:rPr>
          <w:rFonts w:hint="eastAsia" w:ascii="Times New Roman" w:hAnsi="Times New Roman" w:cs="Times New Roman"/>
          <w:szCs w:val="28"/>
        </w:rPr>
        <w:t>”</w:t>
      </w:r>
      <w:r>
        <w:rPr>
          <w:rFonts w:ascii="Times New Roman" w:hAnsi="Times New Roman" w:cs="Times New Roman"/>
          <w:szCs w:val="28"/>
        </w:rPr>
        <w:t>，与抚远市总体规划、各专项规划等充分衔接，对全市生态文明建设工作做出宏观部署，推动实现生产、生活、生态</w:t>
      </w:r>
      <w:r>
        <w:rPr>
          <w:rFonts w:hint="eastAsia" w:ascii="Times New Roman" w:hAnsi="Times New Roman" w:cs="Times New Roman"/>
          <w:szCs w:val="28"/>
        </w:rPr>
        <w:t>“</w:t>
      </w:r>
      <w:r>
        <w:rPr>
          <w:rFonts w:ascii="Times New Roman" w:hAnsi="Times New Roman" w:cs="Times New Roman"/>
          <w:szCs w:val="28"/>
        </w:rPr>
        <w:t>三生</w:t>
      </w:r>
      <w:r>
        <w:rPr>
          <w:rFonts w:hint="eastAsia" w:ascii="Times New Roman" w:hAnsi="Times New Roman" w:cs="Times New Roman"/>
          <w:szCs w:val="28"/>
        </w:rPr>
        <w:t>”</w:t>
      </w:r>
      <w:r>
        <w:rPr>
          <w:rFonts w:ascii="Times New Roman" w:hAnsi="Times New Roman" w:cs="Times New Roman"/>
          <w:szCs w:val="28"/>
        </w:rPr>
        <w:t>融合，可作为当前和今后一段时期内抚远生态文明建设的纲领性文件。</w:t>
      </w:r>
    </w:p>
    <w:p>
      <w:pPr>
        <w:ind w:firstLine="560"/>
        <w:rPr>
          <w:rFonts w:ascii="Times New Roman" w:hAnsi="Times New Roman" w:cs="Times New Roman"/>
          <w:szCs w:val="28"/>
        </w:rPr>
      </w:pPr>
      <w:r>
        <w:rPr>
          <w:rFonts w:hint="eastAsia" w:ascii="Times New Roman" w:hAnsi="Times New Roman" w:cs="Times New Roman"/>
          <w:szCs w:val="28"/>
        </w:rPr>
        <w:t>规划范围涉及全市，包括</w:t>
      </w:r>
      <w:r>
        <w:rPr>
          <w:rFonts w:ascii="Times New Roman" w:hAnsi="Times New Roman" w:cs="Times New Roman"/>
          <w:szCs w:val="28"/>
        </w:rPr>
        <w:t>5</w:t>
      </w:r>
      <w:r>
        <w:rPr>
          <w:rFonts w:hint="eastAsia" w:ascii="Times New Roman" w:hAnsi="Times New Roman" w:cs="Times New Roman"/>
          <w:szCs w:val="28"/>
        </w:rPr>
        <w:t>个镇、</w:t>
      </w:r>
      <w:r>
        <w:rPr>
          <w:rFonts w:ascii="Times New Roman" w:hAnsi="Times New Roman" w:cs="Times New Roman"/>
          <w:szCs w:val="28"/>
        </w:rPr>
        <w:t>5</w:t>
      </w:r>
      <w:r>
        <w:rPr>
          <w:rFonts w:hint="eastAsia" w:ascii="Times New Roman" w:hAnsi="Times New Roman" w:cs="Times New Roman"/>
          <w:szCs w:val="28"/>
        </w:rPr>
        <w:t>个乡和</w:t>
      </w:r>
      <w:r>
        <w:rPr>
          <w:rFonts w:ascii="Times New Roman" w:hAnsi="Times New Roman" w:cs="Times New Roman"/>
          <w:szCs w:val="28"/>
        </w:rPr>
        <w:t>3</w:t>
      </w:r>
      <w:r>
        <w:rPr>
          <w:rFonts w:hint="eastAsia" w:ascii="Times New Roman" w:hAnsi="Times New Roman" w:cs="Times New Roman"/>
          <w:szCs w:val="28"/>
        </w:rPr>
        <w:t>个国有农场。规划以2019年为基准年，规划期为2020-2025年。规划分为两期，前期2020-2022年，后期2023-2025年。</w:t>
      </w:r>
    </w:p>
    <w:p>
      <w:pPr>
        <w:pStyle w:val="2"/>
        <w:ind w:firstLine="600"/>
        <w:rPr>
          <w:lang w:eastAsia="zh-CN"/>
        </w:rPr>
      </w:pPr>
    </w:p>
    <w:p>
      <w:pPr>
        <w:pStyle w:val="2"/>
        <w:ind w:firstLine="600"/>
        <w:rPr>
          <w:lang w:eastAsia="zh-CN"/>
        </w:rPr>
      </w:pPr>
    </w:p>
    <w:p>
      <w:pPr>
        <w:pStyle w:val="22"/>
      </w:pPr>
      <w:bookmarkStart w:id="8" w:name="_Toc931157230_WPSOffice_Level1"/>
      <w:bookmarkStart w:id="9" w:name="_Toc77601313"/>
      <w:bookmarkStart w:id="10" w:name="_Toc77349619"/>
      <w:bookmarkStart w:id="11" w:name="_Toc77601131"/>
      <w:bookmarkStart w:id="12" w:name="_Toc77600808"/>
      <w:bookmarkStart w:id="13" w:name="_Toc73003369"/>
      <w:bookmarkStart w:id="14" w:name="_Toc74642338"/>
      <w:bookmarkStart w:id="15" w:name="_Hlk72933982"/>
      <w:bookmarkStart w:id="16" w:name="_Toc793"/>
      <w:bookmarkStart w:id="17" w:name="_Toc426195939"/>
      <w:bookmarkStart w:id="18" w:name="_Toc8105"/>
      <w:bookmarkStart w:id="19" w:name="_Toc488504874"/>
      <w:r>
        <w:t xml:space="preserve">第一章  </w:t>
      </w:r>
      <w:bookmarkEnd w:id="8"/>
      <w:r>
        <w:t>规划基础</w:t>
      </w:r>
      <w:bookmarkEnd w:id="9"/>
      <w:bookmarkEnd w:id="10"/>
      <w:bookmarkEnd w:id="11"/>
      <w:bookmarkEnd w:id="12"/>
    </w:p>
    <w:p>
      <w:pPr>
        <w:pStyle w:val="4"/>
      </w:pPr>
      <w:bookmarkStart w:id="20" w:name="_Toc77600809"/>
      <w:bookmarkStart w:id="21" w:name="_Toc77601132"/>
      <w:bookmarkStart w:id="22" w:name="_Toc77349620"/>
      <w:bookmarkStart w:id="23" w:name="_Toc77601314"/>
      <w:r>
        <w:t xml:space="preserve">第一节  </w:t>
      </w:r>
      <w:r>
        <w:rPr>
          <w:rFonts w:hint="eastAsia"/>
        </w:rPr>
        <w:t>抚远</w:t>
      </w:r>
      <w:r>
        <w:t>概况</w:t>
      </w:r>
      <w:bookmarkEnd w:id="20"/>
      <w:bookmarkEnd w:id="21"/>
      <w:bookmarkEnd w:id="22"/>
      <w:bookmarkEnd w:id="23"/>
    </w:p>
    <w:p>
      <w:pPr>
        <w:pStyle w:val="5"/>
        <w:rPr>
          <w:color w:val="000000"/>
          <w:kern w:val="44"/>
          <w:szCs w:val="44"/>
        </w:rPr>
      </w:pPr>
      <w:bookmarkStart w:id="24" w:name="_Toc22301"/>
      <w:bookmarkStart w:id="25" w:name="_Toc931157230_WPSOffice_Level3"/>
      <w:bookmarkStart w:id="26" w:name="_Toc77601133"/>
      <w:bookmarkStart w:id="27" w:name="_Toc77601315"/>
      <w:bookmarkStart w:id="28" w:name="_Toc1922201190_WPSOffice_Level3"/>
      <w:bookmarkStart w:id="29" w:name="_Toc77349621"/>
      <w:r>
        <w:t>一、区域概况</w:t>
      </w:r>
      <w:bookmarkEnd w:id="24"/>
      <w:bookmarkEnd w:id="25"/>
      <w:bookmarkEnd w:id="26"/>
      <w:bookmarkEnd w:id="27"/>
      <w:bookmarkEnd w:id="28"/>
      <w:bookmarkEnd w:id="29"/>
      <w:r>
        <w:rPr>
          <w:rFonts w:hint="eastAsia"/>
        </w:rPr>
        <w:t xml:space="preserve"> </w:t>
      </w:r>
    </w:p>
    <w:bookmarkEnd w:id="13"/>
    <w:p>
      <w:pPr>
        <w:keepNext/>
        <w:keepLines/>
        <w:ind w:firstLine="602"/>
        <w:jc w:val="left"/>
        <w:outlineLvl w:val="0"/>
        <w:rPr>
          <w:rFonts w:ascii="Times New Roman" w:hAnsi="Times New Roman"/>
          <w:b/>
          <w:color w:val="000000"/>
          <w:kern w:val="44"/>
          <w:sz w:val="30"/>
          <w:szCs w:val="30"/>
        </w:rPr>
      </w:pPr>
      <w:bookmarkStart w:id="30" w:name="_Toc77601316"/>
      <w:bookmarkStart w:id="31" w:name="_Toc77600810"/>
      <w:bookmarkStart w:id="32" w:name="_Toc77601134"/>
      <w:bookmarkStart w:id="33" w:name="_Hlk69410460"/>
      <w:bookmarkStart w:id="34" w:name="_Hlk69408356"/>
      <w:r>
        <w:rPr>
          <w:b/>
          <w:sz w:val="30"/>
          <w:szCs w:val="30"/>
        </w:rPr>
        <w:t>（一）</w:t>
      </w:r>
      <w:r>
        <w:rPr>
          <w:rFonts w:hint="eastAsia" w:ascii="Times New Roman" w:hAnsi="Times New Roman"/>
          <w:b/>
          <w:color w:val="000000"/>
          <w:kern w:val="44"/>
          <w:sz w:val="30"/>
          <w:szCs w:val="30"/>
        </w:rPr>
        <w:t>自然条件</w:t>
      </w:r>
      <w:bookmarkEnd w:id="14"/>
      <w:bookmarkEnd w:id="30"/>
      <w:bookmarkEnd w:id="31"/>
      <w:bookmarkEnd w:id="32"/>
    </w:p>
    <w:bookmarkEnd w:id="33"/>
    <w:bookmarkEnd w:id="34"/>
    <w:p>
      <w:pPr>
        <w:ind w:firstLine="560"/>
        <w:rPr>
          <w:rFonts w:ascii="Times New Roman" w:hAnsi="Times New Roman" w:cs="Times New Roman"/>
          <w:kern w:val="0"/>
          <w:szCs w:val="28"/>
        </w:rPr>
      </w:pPr>
      <w:bookmarkStart w:id="35" w:name="_Toc13890"/>
      <w:bookmarkStart w:id="36" w:name="_Toc30162"/>
      <w:bookmarkStart w:id="37" w:name="_Toc426195932"/>
      <w:bookmarkStart w:id="38" w:name="_Toc488504870"/>
      <w:r>
        <w:rPr>
          <w:rFonts w:ascii="Times New Roman" w:hAnsi="Times New Roman" w:cs="Times New Roman"/>
          <w:kern w:val="0"/>
          <w:szCs w:val="28"/>
        </w:rPr>
        <w:t>抚远</w:t>
      </w:r>
      <w:r>
        <w:rPr>
          <w:rFonts w:hint="eastAsia" w:ascii="Times New Roman" w:hAnsi="Times New Roman" w:cs="Times New Roman"/>
          <w:kern w:val="0"/>
          <w:szCs w:val="28"/>
        </w:rPr>
        <w:t>市</w:t>
      </w:r>
      <w:r>
        <w:rPr>
          <w:rFonts w:ascii="Times New Roman" w:hAnsi="Times New Roman" w:cs="Times New Roman"/>
          <w:kern w:val="0"/>
          <w:szCs w:val="28"/>
        </w:rPr>
        <w:t>，地处黑龙江、乌苏里江交汇的三角地带。地理坐标是东经133°40′08″~135°05′20″，北纬47°25′30″~48° 27′40″，是中国最东部的县级</w:t>
      </w:r>
      <w:r>
        <w:rPr>
          <w:rFonts w:hint="eastAsia" w:ascii="Times New Roman" w:hAnsi="Times New Roman" w:cs="Times New Roman"/>
          <w:kern w:val="0"/>
          <w:szCs w:val="28"/>
        </w:rPr>
        <w:t>市</w:t>
      </w:r>
      <w:r>
        <w:rPr>
          <w:rFonts w:ascii="Times New Roman" w:hAnsi="Times New Roman" w:cs="Times New Roman"/>
          <w:kern w:val="0"/>
          <w:szCs w:val="28"/>
        </w:rPr>
        <w:t>行政单位，也是中国最早见到太阳的地方。全</w:t>
      </w:r>
      <w:r>
        <w:rPr>
          <w:rFonts w:hint="eastAsia" w:ascii="Times New Roman" w:hAnsi="Times New Roman" w:cs="Times New Roman"/>
          <w:kern w:val="0"/>
          <w:szCs w:val="28"/>
        </w:rPr>
        <w:t>市</w:t>
      </w:r>
      <w:r>
        <w:rPr>
          <w:rFonts w:ascii="Times New Roman" w:hAnsi="Times New Roman" w:cs="Times New Roman"/>
          <w:kern w:val="0"/>
          <w:szCs w:val="28"/>
        </w:rPr>
        <w:t>总面积6262.48平方公里。东、北两面与俄罗斯隔黑龙江、乌苏里江相望，南邻饶河，西接同江。</w:t>
      </w:r>
      <w:bookmarkEnd w:id="35"/>
      <w:bookmarkEnd w:id="36"/>
      <w:bookmarkEnd w:id="37"/>
      <w:bookmarkEnd w:id="38"/>
      <w:bookmarkStart w:id="39" w:name="_Toc622"/>
      <w:bookmarkStart w:id="40" w:name="_Toc488504872"/>
      <w:bookmarkStart w:id="41" w:name="_Toc426195934"/>
      <w:bookmarkStart w:id="42" w:name="_Toc23211"/>
    </w:p>
    <w:p>
      <w:pPr>
        <w:ind w:firstLine="560"/>
        <w:rPr>
          <w:rFonts w:ascii="Times New Roman" w:hAnsi="Times New Roman" w:cs="Times New Roman"/>
          <w:kern w:val="0"/>
          <w:szCs w:val="28"/>
        </w:rPr>
      </w:pPr>
      <w:r>
        <w:rPr>
          <w:rFonts w:hint="eastAsia" w:ascii="Times New Roman" w:hAnsi="Times New Roman" w:cs="Times New Roman"/>
          <w:kern w:val="0"/>
          <w:szCs w:val="28"/>
        </w:rPr>
        <w:t>抚远市地处寒温带大陆性季风气候区，主要气候特点是：春季短暂，多风少雨；夏季炎热，降水集中；秋季凉爽，湿润多雨；冬季漫长，严寒多雪。根据气象资料统计分析，年平均气温3.4℃，无霜期平均为130天，年有效积温2457.3℃，年平均降水量954.7毫米</w:t>
      </w:r>
      <w:r>
        <w:rPr>
          <w:rFonts w:ascii="Times New Roman" w:hAnsi="Times New Roman" w:cs="Times New Roman"/>
          <w:kern w:val="0"/>
          <w:szCs w:val="28"/>
        </w:rPr>
        <w:t>。</w:t>
      </w:r>
    </w:p>
    <w:bookmarkEnd w:id="39"/>
    <w:bookmarkEnd w:id="40"/>
    <w:bookmarkEnd w:id="41"/>
    <w:bookmarkEnd w:id="42"/>
    <w:p>
      <w:pPr>
        <w:keepNext/>
        <w:keepLines/>
        <w:ind w:firstLine="602"/>
        <w:jc w:val="left"/>
        <w:outlineLvl w:val="0"/>
        <w:rPr>
          <w:rFonts w:ascii="Times New Roman" w:hAnsi="Times New Roman"/>
          <w:b/>
          <w:color w:val="000000"/>
          <w:kern w:val="44"/>
          <w:sz w:val="30"/>
          <w:szCs w:val="30"/>
        </w:rPr>
      </w:pPr>
      <w:bookmarkStart w:id="43" w:name="_Toc77601317"/>
      <w:bookmarkStart w:id="44" w:name="_Toc74642339"/>
      <w:bookmarkStart w:id="45" w:name="_Toc77600811"/>
      <w:bookmarkStart w:id="46" w:name="_Toc77601135"/>
      <w:r>
        <w:rPr>
          <w:b/>
          <w:sz w:val="30"/>
          <w:szCs w:val="30"/>
        </w:rPr>
        <w:t>（</w:t>
      </w:r>
      <w:r>
        <w:rPr>
          <w:rFonts w:hint="eastAsia"/>
          <w:b/>
          <w:sz w:val="30"/>
          <w:szCs w:val="30"/>
        </w:rPr>
        <w:t>二</w:t>
      </w:r>
      <w:r>
        <w:rPr>
          <w:b/>
          <w:sz w:val="30"/>
          <w:szCs w:val="30"/>
        </w:rPr>
        <w:t>）</w:t>
      </w:r>
      <w:r>
        <w:rPr>
          <w:rFonts w:hint="eastAsia" w:ascii="Times New Roman" w:hAnsi="Times New Roman"/>
          <w:b/>
          <w:color w:val="000000"/>
          <w:kern w:val="44"/>
          <w:sz w:val="30"/>
          <w:szCs w:val="30"/>
        </w:rPr>
        <w:t>社会概况</w:t>
      </w:r>
      <w:bookmarkEnd w:id="43"/>
      <w:bookmarkEnd w:id="44"/>
      <w:bookmarkEnd w:id="45"/>
      <w:bookmarkEnd w:id="46"/>
    </w:p>
    <w:p>
      <w:pPr>
        <w:autoSpaceDE w:val="0"/>
        <w:autoSpaceDN w:val="0"/>
        <w:adjustRightInd w:val="0"/>
        <w:ind w:firstLine="560"/>
        <w:jc w:val="left"/>
        <w:rPr>
          <w:rFonts w:ascii="Times New Roman" w:hAnsi="Times New Roman" w:cs="Times New Roman"/>
          <w:kern w:val="0"/>
          <w:szCs w:val="28"/>
        </w:rPr>
      </w:pPr>
      <w:r>
        <w:rPr>
          <w:rFonts w:hint="eastAsia" w:ascii="Times New Roman" w:hAnsi="Times New Roman" w:cs="Times New Roman"/>
          <w:kern w:val="0"/>
          <w:szCs w:val="28"/>
        </w:rPr>
        <w:t>抚远市共辖</w:t>
      </w:r>
      <w:r>
        <w:rPr>
          <w:rFonts w:ascii="Times New Roman" w:hAnsi="Times New Roman" w:cs="Times New Roman"/>
          <w:kern w:val="0"/>
          <w:szCs w:val="28"/>
        </w:rPr>
        <w:t>10个乡级行政区，包括5个镇、5个乡，分别是抚远镇、寒葱沟镇、浓桥镇、乌苏镇、黑瞎子岛镇、通江乡、浓江乡、海青乡、别拉洪乡、鸭南乡，设有北大荒农垦集团有限公司建三江分公司所属的前哨农场、前锋农场、二道河农场3个省属国营农场。抚远市人民政府驻抚远镇</w:t>
      </w:r>
      <w:r>
        <w:rPr>
          <w:rFonts w:hint="eastAsia" w:ascii="Times New Roman" w:hAnsi="Times New Roman" w:cs="Times New Roman"/>
          <w:kern w:val="0"/>
          <w:szCs w:val="28"/>
        </w:rPr>
        <w:t>。</w:t>
      </w:r>
    </w:p>
    <w:p>
      <w:pPr>
        <w:autoSpaceDE w:val="0"/>
        <w:autoSpaceDN w:val="0"/>
        <w:adjustRightInd w:val="0"/>
        <w:ind w:right="148" w:firstLine="560"/>
        <w:jc w:val="left"/>
        <w:rPr>
          <w:rFonts w:ascii="Times New Roman" w:hAnsi="Times New Roman" w:cs="Times New Roman"/>
          <w:kern w:val="0"/>
          <w:szCs w:val="28"/>
        </w:rPr>
      </w:pPr>
      <w:r>
        <w:rPr>
          <w:rFonts w:ascii="Times New Roman" w:hAnsi="Times New Roman" w:cs="Times New Roman"/>
          <w:kern w:val="0"/>
          <w:szCs w:val="28"/>
        </w:rPr>
        <w:t>2019年末，全市户籍人口82587人。其中：城镇人口58425人，占总人口的70.7%；乡村人口24162人，占总人口的29.3%。全年出生人口477人，出生率为5.8‰；死亡人口352人，死亡率为4.3‰；人口自然增长率为1.5‰。抚远市辖区内人口主要为汉族，少数民族有赫哲、蒙古、回、苗、壮、朝鲜、锡伯等8个少数民族。</w:t>
      </w:r>
    </w:p>
    <w:p>
      <w:pPr>
        <w:keepNext/>
        <w:keepLines/>
        <w:ind w:firstLine="602"/>
        <w:jc w:val="left"/>
        <w:outlineLvl w:val="0"/>
        <w:rPr>
          <w:rFonts w:ascii="Times New Roman" w:hAnsi="Times New Roman"/>
          <w:b/>
          <w:color w:val="000000"/>
          <w:kern w:val="44"/>
          <w:sz w:val="30"/>
          <w:szCs w:val="30"/>
        </w:rPr>
      </w:pPr>
      <w:bookmarkStart w:id="47" w:name="_Toc77600812"/>
      <w:bookmarkStart w:id="48" w:name="_Toc77601136"/>
      <w:bookmarkStart w:id="49" w:name="_Toc77601318"/>
      <w:r>
        <w:rPr>
          <w:b/>
          <w:sz w:val="30"/>
          <w:szCs w:val="30"/>
        </w:rPr>
        <w:t>（</w:t>
      </w:r>
      <w:r>
        <w:rPr>
          <w:rFonts w:hint="eastAsia"/>
          <w:b/>
          <w:sz w:val="30"/>
          <w:szCs w:val="30"/>
        </w:rPr>
        <w:t>三</w:t>
      </w:r>
      <w:r>
        <w:rPr>
          <w:b/>
          <w:sz w:val="30"/>
          <w:szCs w:val="30"/>
        </w:rPr>
        <w:t>）</w:t>
      </w:r>
      <w:r>
        <w:rPr>
          <w:rFonts w:hint="eastAsia"/>
          <w:b/>
          <w:sz w:val="30"/>
          <w:szCs w:val="30"/>
        </w:rPr>
        <w:t>社会</w:t>
      </w:r>
      <w:r>
        <w:rPr>
          <w:rFonts w:hint="eastAsia" w:ascii="Times New Roman" w:hAnsi="Times New Roman"/>
          <w:b/>
          <w:color w:val="000000"/>
          <w:kern w:val="44"/>
          <w:sz w:val="30"/>
          <w:szCs w:val="30"/>
        </w:rPr>
        <w:t>经济概况</w:t>
      </w:r>
      <w:bookmarkEnd w:id="47"/>
      <w:bookmarkEnd w:id="48"/>
      <w:bookmarkEnd w:id="49"/>
    </w:p>
    <w:p>
      <w:pPr>
        <w:autoSpaceDE w:val="0"/>
        <w:autoSpaceDN w:val="0"/>
        <w:adjustRightInd w:val="0"/>
        <w:ind w:firstLine="560"/>
        <w:jc w:val="left"/>
        <w:rPr>
          <w:rFonts w:ascii="Times New Roman" w:hAnsi="Times New Roman" w:cs="Times New Roman"/>
          <w:kern w:val="0"/>
          <w:szCs w:val="28"/>
        </w:rPr>
      </w:pPr>
      <w:r>
        <w:rPr>
          <w:rFonts w:hint="eastAsia" w:ascii="Times New Roman" w:hAnsi="Times New Roman" w:cs="Times New Roman"/>
          <w:kern w:val="0"/>
          <w:szCs w:val="28"/>
        </w:rPr>
        <w:t>2</w:t>
      </w:r>
      <w:r>
        <w:rPr>
          <w:rFonts w:ascii="Times New Roman" w:hAnsi="Times New Roman" w:cs="Times New Roman"/>
          <w:kern w:val="0"/>
          <w:szCs w:val="28"/>
        </w:rPr>
        <w:t>019</w:t>
      </w:r>
      <w:r>
        <w:rPr>
          <w:rFonts w:hint="eastAsia" w:ascii="Times New Roman" w:hAnsi="Times New Roman" w:cs="Times New Roman"/>
          <w:kern w:val="0"/>
          <w:szCs w:val="28"/>
        </w:rPr>
        <w:t>年末城镇居民人均可支配收入实现</w:t>
      </w:r>
      <w:r>
        <w:rPr>
          <w:rFonts w:ascii="Times New Roman" w:hAnsi="Times New Roman" w:cs="Times New Roman"/>
          <w:kern w:val="0"/>
          <w:szCs w:val="28"/>
        </w:rPr>
        <w:t>26852元，同比增长6.7%</w:t>
      </w:r>
      <w:r>
        <w:rPr>
          <w:rFonts w:hint="eastAsia" w:ascii="Times New Roman" w:hAnsi="Times New Roman" w:cs="Times New Roman"/>
          <w:kern w:val="0"/>
          <w:szCs w:val="28"/>
        </w:rPr>
        <w:t>，</w:t>
      </w:r>
      <w:r>
        <w:rPr>
          <w:rFonts w:ascii="Times New Roman" w:hAnsi="Times New Roman" w:cs="Times New Roman"/>
          <w:kern w:val="0"/>
          <w:szCs w:val="28"/>
        </w:rPr>
        <w:t>农村居民人均可支配收入15906元，同比增长9.6%；全市参加城乡居民社会养老保险人数17979人；2019年机关事业养老保险参保人数5441人，其中：在职3510人，退休1931人。</w:t>
      </w:r>
      <w:r>
        <w:rPr>
          <w:rFonts w:hint="eastAsia" w:ascii="Times New Roman" w:hAnsi="Times New Roman" w:cs="Times New Roman"/>
          <w:kern w:val="0"/>
          <w:szCs w:val="28"/>
        </w:rPr>
        <w:t>2</w:t>
      </w:r>
      <w:r>
        <w:rPr>
          <w:rFonts w:ascii="Times New Roman" w:hAnsi="Times New Roman" w:cs="Times New Roman"/>
          <w:kern w:val="0"/>
          <w:szCs w:val="28"/>
        </w:rPr>
        <w:t>019</w:t>
      </w:r>
      <w:r>
        <w:rPr>
          <w:rFonts w:hint="eastAsia" w:ascii="Times New Roman" w:hAnsi="Times New Roman" w:cs="Times New Roman"/>
          <w:kern w:val="0"/>
          <w:szCs w:val="28"/>
        </w:rPr>
        <w:t>年抚远各类型保险参保人数及增长率见表一</w:t>
      </w:r>
      <w:r>
        <w:rPr>
          <w:rFonts w:ascii="Times New Roman" w:hAnsi="Times New Roman" w:cs="Times New Roman"/>
          <w:kern w:val="0"/>
          <w:szCs w:val="28"/>
        </w:rPr>
        <w:t xml:space="preserve">。  </w:t>
      </w:r>
    </w:p>
    <w:p>
      <w:pPr>
        <w:autoSpaceDE w:val="0"/>
        <w:autoSpaceDN w:val="0"/>
        <w:adjustRightInd w:val="0"/>
        <w:ind w:firstLine="562"/>
        <w:jc w:val="center"/>
        <w:rPr>
          <w:rFonts w:ascii="Times New Roman" w:hAnsi="Times New Roman" w:cs="Times New Roman"/>
          <w:b/>
          <w:bCs/>
          <w:kern w:val="0"/>
          <w:szCs w:val="28"/>
        </w:rPr>
      </w:pPr>
      <w:r>
        <w:rPr>
          <w:rFonts w:ascii="Times New Roman" w:hAnsi="Times New Roman" w:cs="Times New Roman"/>
          <w:b/>
          <w:bCs/>
          <w:kern w:val="0"/>
          <w:szCs w:val="28"/>
        </w:rPr>
        <w:t>表</w:t>
      </w:r>
      <w:r>
        <w:rPr>
          <w:rFonts w:hint="eastAsia" w:ascii="Times New Roman" w:hAnsi="Times New Roman" w:cs="Times New Roman"/>
          <w:b/>
          <w:bCs/>
          <w:kern w:val="0"/>
          <w:szCs w:val="28"/>
        </w:rPr>
        <w:t>一</w:t>
      </w:r>
      <w:r>
        <w:rPr>
          <w:rFonts w:ascii="Times New Roman" w:hAnsi="Times New Roman" w:cs="Times New Roman"/>
          <w:b/>
          <w:bCs/>
          <w:kern w:val="0"/>
          <w:szCs w:val="28"/>
        </w:rPr>
        <w:t xml:space="preserve"> 2019年抚远各类型保险参保人数及增长率</w:t>
      </w:r>
    </w:p>
    <w:tbl>
      <w:tblPr>
        <w:tblStyle w:val="7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2"/>
        <w:gridCol w:w="2558"/>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pPr>
              <w:autoSpaceDE w:val="0"/>
              <w:autoSpaceDN w:val="0"/>
              <w:adjustRightInd w:val="0"/>
              <w:ind w:firstLine="0" w:firstLineChars="0"/>
              <w:jc w:val="center"/>
              <w:rPr>
                <w:rFonts w:ascii="Times New Roman" w:hAnsi="Times New Roman" w:cs="Times New Roman"/>
                <w:kern w:val="0"/>
                <w:sz w:val="22"/>
                <w:szCs w:val="24"/>
              </w:rPr>
            </w:pPr>
          </w:p>
        </w:tc>
        <w:tc>
          <w:tcPr>
            <w:tcW w:w="2558" w:type="dxa"/>
          </w:tcPr>
          <w:p>
            <w:pPr>
              <w:autoSpaceDE w:val="0"/>
              <w:autoSpaceDN w:val="0"/>
              <w:adjustRightInd w:val="0"/>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参保人数</w:t>
            </w:r>
          </w:p>
        </w:tc>
        <w:tc>
          <w:tcPr>
            <w:tcW w:w="2766" w:type="dxa"/>
          </w:tcPr>
          <w:p>
            <w:pPr>
              <w:autoSpaceDE w:val="0"/>
              <w:autoSpaceDN w:val="0"/>
              <w:adjustRightInd w:val="0"/>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增长率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pPr>
              <w:autoSpaceDE w:val="0"/>
              <w:autoSpaceDN w:val="0"/>
              <w:adjustRightInd w:val="0"/>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城镇企业职工基本养老保险</w:t>
            </w:r>
          </w:p>
        </w:tc>
        <w:tc>
          <w:tcPr>
            <w:tcW w:w="2558" w:type="dxa"/>
          </w:tcPr>
          <w:p>
            <w:pPr>
              <w:autoSpaceDE w:val="0"/>
              <w:autoSpaceDN w:val="0"/>
              <w:adjustRightInd w:val="0"/>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10721</w:t>
            </w:r>
          </w:p>
        </w:tc>
        <w:tc>
          <w:tcPr>
            <w:tcW w:w="2766" w:type="dxa"/>
          </w:tcPr>
          <w:p>
            <w:pPr>
              <w:autoSpaceDE w:val="0"/>
              <w:autoSpaceDN w:val="0"/>
              <w:adjustRightInd w:val="0"/>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pPr>
              <w:autoSpaceDE w:val="0"/>
              <w:autoSpaceDN w:val="0"/>
              <w:adjustRightInd w:val="0"/>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城乡居民基本医疗保险</w:t>
            </w:r>
          </w:p>
        </w:tc>
        <w:tc>
          <w:tcPr>
            <w:tcW w:w="2558" w:type="dxa"/>
          </w:tcPr>
          <w:p>
            <w:pPr>
              <w:autoSpaceDE w:val="0"/>
              <w:autoSpaceDN w:val="0"/>
              <w:adjustRightInd w:val="0"/>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38353</w:t>
            </w:r>
          </w:p>
        </w:tc>
        <w:tc>
          <w:tcPr>
            <w:tcW w:w="2766" w:type="dxa"/>
          </w:tcPr>
          <w:p>
            <w:pPr>
              <w:autoSpaceDE w:val="0"/>
              <w:autoSpaceDN w:val="0"/>
              <w:adjustRightInd w:val="0"/>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pPr>
              <w:autoSpaceDE w:val="0"/>
              <w:autoSpaceDN w:val="0"/>
              <w:adjustRightInd w:val="0"/>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职工医疗保险</w:t>
            </w:r>
          </w:p>
        </w:tc>
        <w:tc>
          <w:tcPr>
            <w:tcW w:w="2558" w:type="dxa"/>
          </w:tcPr>
          <w:p>
            <w:pPr>
              <w:autoSpaceDE w:val="0"/>
              <w:autoSpaceDN w:val="0"/>
              <w:adjustRightInd w:val="0"/>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10265</w:t>
            </w:r>
          </w:p>
        </w:tc>
        <w:tc>
          <w:tcPr>
            <w:tcW w:w="2766" w:type="dxa"/>
          </w:tcPr>
          <w:p>
            <w:pPr>
              <w:autoSpaceDE w:val="0"/>
              <w:autoSpaceDN w:val="0"/>
              <w:adjustRightInd w:val="0"/>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pPr>
              <w:autoSpaceDE w:val="0"/>
              <w:autoSpaceDN w:val="0"/>
              <w:adjustRightInd w:val="0"/>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失业保险人数</w:t>
            </w:r>
          </w:p>
        </w:tc>
        <w:tc>
          <w:tcPr>
            <w:tcW w:w="2558" w:type="dxa"/>
          </w:tcPr>
          <w:p>
            <w:pPr>
              <w:autoSpaceDE w:val="0"/>
              <w:autoSpaceDN w:val="0"/>
              <w:adjustRightInd w:val="0"/>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2080</w:t>
            </w:r>
          </w:p>
        </w:tc>
        <w:tc>
          <w:tcPr>
            <w:tcW w:w="2766" w:type="dxa"/>
          </w:tcPr>
          <w:p>
            <w:pPr>
              <w:autoSpaceDE w:val="0"/>
              <w:autoSpaceDN w:val="0"/>
              <w:adjustRightInd w:val="0"/>
              <w:ind w:firstLine="0" w:firstLineChars="0"/>
              <w:jc w:val="center"/>
              <w:rPr>
                <w:rFonts w:ascii="Times New Roman" w:hAnsi="Times New Roman" w:cs="Times New Roman"/>
                <w:kern w:val="0"/>
                <w:sz w:val="22"/>
                <w:szCs w:val="24"/>
              </w:rPr>
            </w:pPr>
            <w:r>
              <w:rPr>
                <w:rFonts w:ascii="Times New Roman" w:hAnsi="Times New Roman" w:cs="Times New Roman"/>
                <w:kern w:val="0"/>
                <w:sz w:val="22"/>
                <w:szCs w:val="24"/>
              </w:rPr>
              <w:t>-4.9%</w:t>
            </w:r>
          </w:p>
        </w:tc>
      </w:tr>
    </w:tbl>
    <w:p>
      <w:pPr>
        <w:autoSpaceDE w:val="0"/>
        <w:autoSpaceDN w:val="0"/>
        <w:adjustRightInd w:val="0"/>
        <w:ind w:firstLine="560"/>
        <w:rPr>
          <w:rFonts w:ascii="Times New Roman" w:hAnsi="Times New Roman" w:cs="Times New Roman"/>
          <w:kern w:val="0"/>
          <w:szCs w:val="28"/>
        </w:rPr>
      </w:pPr>
      <w:r>
        <w:rPr>
          <w:rFonts w:hint="eastAsia" w:ascii="Times New Roman" w:hAnsi="Times New Roman" w:cs="Times New Roman"/>
          <w:kern w:val="0"/>
          <w:szCs w:val="28"/>
        </w:rPr>
        <w:t>全年城镇居民得到政府最低生活保障的</w:t>
      </w:r>
      <w:r>
        <w:rPr>
          <w:rFonts w:ascii="Times New Roman" w:hAnsi="Times New Roman" w:cs="Times New Roman"/>
          <w:kern w:val="0"/>
          <w:szCs w:val="28"/>
        </w:rPr>
        <w:t>714人，同比减少94人；城镇居民低保户数414户；城镇低保资金支出355.69万元，同比减少138.13万元；农村定期救济643户，人数1072人；五保户96户。农村定期救济资金支出376.67万元，同期增加32.94万元；享受伤残抚恤金人数18人</w:t>
      </w:r>
      <w:r>
        <w:rPr>
          <w:rFonts w:hint="eastAsia" w:ascii="Times New Roman" w:hAnsi="Times New Roman" w:cs="Times New Roman"/>
          <w:kern w:val="0"/>
          <w:szCs w:val="28"/>
        </w:rPr>
        <w:t>，</w:t>
      </w:r>
      <w:r>
        <w:rPr>
          <w:rFonts w:ascii="Times New Roman" w:hAnsi="Times New Roman" w:cs="Times New Roman"/>
          <w:kern w:val="0"/>
          <w:szCs w:val="28"/>
        </w:rPr>
        <w:t>享受定期抚恤金45人，享受定期补助205人。</w:t>
      </w:r>
    </w:p>
    <w:p>
      <w:pPr>
        <w:overflowPunct w:val="0"/>
        <w:adjustRightInd w:val="0"/>
        <w:ind w:firstLine="560"/>
        <w:textAlignment w:val="baseline"/>
        <w:rPr>
          <w:rFonts w:ascii="Times New Roman" w:hAnsi="Times New Roman" w:cs="Times New Roman"/>
          <w:kern w:val="0"/>
          <w:szCs w:val="28"/>
          <w:highlight w:val="yellow"/>
        </w:rPr>
      </w:pPr>
      <w:r>
        <w:rPr>
          <w:rFonts w:ascii="Times New Roman" w:hAnsi="Times New Roman" w:cs="Times New Roman"/>
          <w:kern w:val="0"/>
          <w:szCs w:val="28"/>
        </w:rPr>
        <w:t>2019年，抚远</w:t>
      </w:r>
      <w:r>
        <w:rPr>
          <w:rFonts w:hint="eastAsia" w:ascii="Times New Roman" w:hAnsi="Times New Roman" w:cs="Times New Roman"/>
          <w:kern w:val="0"/>
          <w:szCs w:val="28"/>
        </w:rPr>
        <w:t>市</w:t>
      </w:r>
      <w:r>
        <w:rPr>
          <w:rFonts w:ascii="Times New Roman" w:hAnsi="Times New Roman" w:cs="Times New Roman"/>
          <w:kern w:val="0"/>
          <w:szCs w:val="28"/>
        </w:rPr>
        <w:t>经济稳步提升，从产业结构看：一、二、三产业所占比重分别为73.5</w:t>
      </w:r>
      <w:r>
        <w:rPr>
          <w:rFonts w:hint="eastAsia" w:ascii="Times New Roman" w:hAnsi="Times New Roman" w:cs="Times New Roman"/>
          <w:kern w:val="0"/>
          <w:szCs w:val="28"/>
        </w:rPr>
        <w:t>:</w:t>
      </w:r>
      <w:r>
        <w:rPr>
          <w:rFonts w:ascii="Times New Roman" w:hAnsi="Times New Roman" w:cs="Times New Roman"/>
          <w:kern w:val="0"/>
          <w:szCs w:val="28"/>
        </w:rPr>
        <w:t>1.4:25.1</w:t>
      </w:r>
      <w:r>
        <w:rPr>
          <w:rFonts w:hint="eastAsia" w:ascii="Times New Roman" w:hAnsi="Times New Roman" w:cs="Times New Roman"/>
          <w:kern w:val="0"/>
          <w:szCs w:val="28"/>
        </w:rPr>
        <w:t>。201</w:t>
      </w:r>
      <w:r>
        <w:rPr>
          <w:rFonts w:ascii="Times New Roman" w:hAnsi="Times New Roman" w:cs="Times New Roman"/>
          <w:kern w:val="0"/>
          <w:szCs w:val="28"/>
        </w:rPr>
        <w:t>9</w:t>
      </w:r>
      <w:r>
        <w:rPr>
          <w:rFonts w:hint="eastAsia" w:ascii="Times New Roman" w:hAnsi="Times New Roman" w:cs="Times New Roman"/>
          <w:kern w:val="0"/>
          <w:szCs w:val="28"/>
        </w:rPr>
        <w:t>年抚远市生产值及增长率见表二。</w:t>
      </w:r>
    </w:p>
    <w:p>
      <w:pPr>
        <w:overflowPunct w:val="0"/>
        <w:adjustRightInd w:val="0"/>
        <w:ind w:firstLine="562"/>
        <w:jc w:val="center"/>
        <w:textAlignment w:val="baseline"/>
        <w:rPr>
          <w:rFonts w:ascii="Times New Roman" w:hAnsi="Times New Roman" w:cs="Times New Roman"/>
          <w:b/>
          <w:bCs/>
          <w:kern w:val="0"/>
          <w:szCs w:val="28"/>
        </w:rPr>
      </w:pPr>
      <w:r>
        <w:rPr>
          <w:rFonts w:ascii="Times New Roman" w:hAnsi="Times New Roman" w:cs="Times New Roman"/>
          <w:b/>
          <w:bCs/>
          <w:kern w:val="0"/>
          <w:szCs w:val="28"/>
        </w:rPr>
        <w:t>表</w:t>
      </w:r>
      <w:r>
        <w:rPr>
          <w:rFonts w:hint="eastAsia" w:ascii="Times New Roman" w:hAnsi="Times New Roman" w:cs="Times New Roman"/>
          <w:b/>
          <w:bCs/>
          <w:kern w:val="0"/>
          <w:szCs w:val="28"/>
        </w:rPr>
        <w:t>二</w:t>
      </w:r>
      <w:r>
        <w:rPr>
          <w:rFonts w:ascii="Times New Roman" w:hAnsi="Times New Roman" w:cs="Times New Roman"/>
          <w:b/>
          <w:bCs/>
          <w:kern w:val="0"/>
          <w:szCs w:val="28"/>
        </w:rPr>
        <w:t xml:space="preserve"> 2019年抚远市生产值及增长率</w:t>
      </w:r>
    </w:p>
    <w:tbl>
      <w:tblPr>
        <w:tblStyle w:val="7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5"/>
        <w:gridCol w:w="2765"/>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pPr>
              <w:overflowPunct w:val="0"/>
              <w:adjustRightInd w:val="0"/>
              <w:ind w:firstLine="0" w:firstLineChars="0"/>
              <w:jc w:val="center"/>
              <w:textAlignment w:val="baseline"/>
              <w:rPr>
                <w:rFonts w:ascii="Times New Roman" w:hAnsi="Times New Roman" w:cs="Times New Roman"/>
                <w:kern w:val="0"/>
                <w:sz w:val="22"/>
              </w:rPr>
            </w:pPr>
          </w:p>
        </w:tc>
        <w:tc>
          <w:tcPr>
            <w:tcW w:w="2765" w:type="dxa"/>
          </w:tcPr>
          <w:p>
            <w:pPr>
              <w:overflowPunct w:val="0"/>
              <w:adjustRightInd w:val="0"/>
              <w:ind w:firstLine="0" w:firstLineChars="0"/>
              <w:jc w:val="center"/>
              <w:textAlignment w:val="baseline"/>
              <w:rPr>
                <w:rFonts w:ascii="Times New Roman" w:hAnsi="Times New Roman" w:cs="Times New Roman"/>
                <w:kern w:val="0"/>
                <w:sz w:val="22"/>
              </w:rPr>
            </w:pPr>
            <w:r>
              <w:rPr>
                <w:rFonts w:ascii="Times New Roman" w:hAnsi="Times New Roman" w:cs="Times New Roman"/>
                <w:kern w:val="0"/>
                <w:sz w:val="22"/>
              </w:rPr>
              <w:t>生产值（亿元）</w:t>
            </w:r>
          </w:p>
        </w:tc>
        <w:tc>
          <w:tcPr>
            <w:tcW w:w="2766" w:type="dxa"/>
          </w:tcPr>
          <w:p>
            <w:pPr>
              <w:overflowPunct w:val="0"/>
              <w:adjustRightInd w:val="0"/>
              <w:ind w:firstLine="0" w:firstLineChars="0"/>
              <w:jc w:val="center"/>
              <w:textAlignment w:val="baseline"/>
              <w:rPr>
                <w:rFonts w:ascii="Times New Roman" w:hAnsi="Times New Roman" w:cs="Times New Roman"/>
                <w:kern w:val="0"/>
                <w:sz w:val="22"/>
              </w:rPr>
            </w:pPr>
            <w:r>
              <w:rPr>
                <w:rFonts w:ascii="Times New Roman" w:hAnsi="Times New Roman" w:cs="Times New Roman"/>
                <w:kern w:val="0"/>
                <w:sz w:val="22"/>
              </w:rPr>
              <w:t>增长率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pPr>
              <w:overflowPunct w:val="0"/>
              <w:adjustRightInd w:val="0"/>
              <w:ind w:firstLine="0" w:firstLineChars="0"/>
              <w:jc w:val="center"/>
              <w:textAlignment w:val="baseline"/>
              <w:rPr>
                <w:rFonts w:ascii="Times New Roman" w:hAnsi="Times New Roman" w:cs="Times New Roman"/>
                <w:kern w:val="0"/>
                <w:sz w:val="22"/>
              </w:rPr>
            </w:pPr>
            <w:r>
              <w:rPr>
                <w:rFonts w:ascii="Times New Roman" w:hAnsi="Times New Roman" w:cs="Times New Roman"/>
                <w:kern w:val="0"/>
                <w:sz w:val="22"/>
              </w:rPr>
              <w:t>地区生产总值（GDP）</w:t>
            </w:r>
          </w:p>
        </w:tc>
        <w:tc>
          <w:tcPr>
            <w:tcW w:w="2765" w:type="dxa"/>
          </w:tcPr>
          <w:p>
            <w:pPr>
              <w:overflowPunct w:val="0"/>
              <w:adjustRightInd w:val="0"/>
              <w:ind w:firstLine="0" w:firstLineChars="0"/>
              <w:jc w:val="center"/>
              <w:textAlignment w:val="baseline"/>
              <w:rPr>
                <w:rFonts w:ascii="Times New Roman" w:hAnsi="Times New Roman" w:cs="Times New Roman"/>
                <w:kern w:val="0"/>
                <w:sz w:val="22"/>
              </w:rPr>
            </w:pPr>
            <w:r>
              <w:rPr>
                <w:rFonts w:ascii="Times New Roman" w:hAnsi="Times New Roman" w:cs="Times New Roman"/>
                <w:kern w:val="0"/>
                <w:sz w:val="22"/>
              </w:rPr>
              <w:t>75.8</w:t>
            </w:r>
          </w:p>
        </w:tc>
        <w:tc>
          <w:tcPr>
            <w:tcW w:w="2766" w:type="dxa"/>
          </w:tcPr>
          <w:p>
            <w:pPr>
              <w:overflowPunct w:val="0"/>
              <w:adjustRightInd w:val="0"/>
              <w:ind w:firstLine="0" w:firstLineChars="0"/>
              <w:jc w:val="center"/>
              <w:textAlignment w:val="baseline"/>
              <w:rPr>
                <w:rFonts w:ascii="Times New Roman" w:hAnsi="Times New Roman" w:cs="Times New Roman"/>
                <w:kern w:val="0"/>
                <w:sz w:val="22"/>
              </w:rPr>
            </w:pPr>
            <w:r>
              <w:rPr>
                <w:rFonts w:ascii="Times New Roman" w:hAnsi="Times New Roman" w:cs="Times New Roman"/>
                <w:kern w:val="0"/>
                <w:sz w:val="22"/>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pPr>
              <w:overflowPunct w:val="0"/>
              <w:adjustRightInd w:val="0"/>
              <w:ind w:firstLine="0" w:firstLineChars="0"/>
              <w:jc w:val="center"/>
              <w:textAlignment w:val="baseline"/>
              <w:rPr>
                <w:rFonts w:ascii="Times New Roman" w:hAnsi="Times New Roman" w:cs="Times New Roman"/>
                <w:kern w:val="0"/>
                <w:sz w:val="22"/>
              </w:rPr>
            </w:pPr>
            <w:r>
              <w:rPr>
                <w:rFonts w:ascii="Times New Roman" w:hAnsi="Times New Roman" w:cs="Times New Roman"/>
                <w:kern w:val="0"/>
                <w:sz w:val="22"/>
              </w:rPr>
              <w:t>第一产业</w:t>
            </w:r>
          </w:p>
        </w:tc>
        <w:tc>
          <w:tcPr>
            <w:tcW w:w="2765" w:type="dxa"/>
          </w:tcPr>
          <w:p>
            <w:pPr>
              <w:overflowPunct w:val="0"/>
              <w:adjustRightInd w:val="0"/>
              <w:ind w:firstLine="0" w:firstLineChars="0"/>
              <w:jc w:val="center"/>
              <w:textAlignment w:val="baseline"/>
              <w:rPr>
                <w:rFonts w:ascii="Times New Roman" w:hAnsi="Times New Roman" w:cs="Times New Roman"/>
                <w:kern w:val="0"/>
                <w:sz w:val="22"/>
              </w:rPr>
            </w:pPr>
            <w:r>
              <w:rPr>
                <w:rFonts w:ascii="Times New Roman" w:hAnsi="Times New Roman" w:cs="Times New Roman"/>
                <w:kern w:val="0"/>
                <w:sz w:val="22"/>
              </w:rPr>
              <w:t>55.7</w:t>
            </w:r>
          </w:p>
        </w:tc>
        <w:tc>
          <w:tcPr>
            <w:tcW w:w="2766" w:type="dxa"/>
          </w:tcPr>
          <w:p>
            <w:pPr>
              <w:overflowPunct w:val="0"/>
              <w:adjustRightInd w:val="0"/>
              <w:ind w:firstLine="0" w:firstLineChars="0"/>
              <w:jc w:val="center"/>
              <w:textAlignment w:val="baseline"/>
              <w:rPr>
                <w:rFonts w:ascii="Times New Roman" w:hAnsi="Times New Roman" w:cs="Times New Roman"/>
                <w:kern w:val="0"/>
                <w:sz w:val="22"/>
              </w:rPr>
            </w:pPr>
            <w:r>
              <w:rPr>
                <w:rFonts w:ascii="Times New Roman" w:hAnsi="Times New Roman" w:cs="Times New Roman"/>
                <w:kern w:val="0"/>
                <w:sz w:val="22"/>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pPr>
              <w:overflowPunct w:val="0"/>
              <w:adjustRightInd w:val="0"/>
              <w:ind w:firstLine="0" w:firstLineChars="0"/>
              <w:jc w:val="center"/>
              <w:textAlignment w:val="baseline"/>
              <w:rPr>
                <w:rFonts w:ascii="Times New Roman" w:hAnsi="Times New Roman" w:cs="Times New Roman"/>
                <w:kern w:val="0"/>
                <w:sz w:val="22"/>
              </w:rPr>
            </w:pPr>
            <w:r>
              <w:rPr>
                <w:rFonts w:ascii="Times New Roman" w:hAnsi="Times New Roman" w:cs="Times New Roman"/>
                <w:kern w:val="0"/>
                <w:sz w:val="22"/>
              </w:rPr>
              <w:t>第二产业</w:t>
            </w:r>
          </w:p>
        </w:tc>
        <w:tc>
          <w:tcPr>
            <w:tcW w:w="2765" w:type="dxa"/>
          </w:tcPr>
          <w:p>
            <w:pPr>
              <w:overflowPunct w:val="0"/>
              <w:adjustRightInd w:val="0"/>
              <w:ind w:firstLine="0" w:firstLineChars="0"/>
              <w:jc w:val="center"/>
              <w:textAlignment w:val="baseline"/>
              <w:rPr>
                <w:rFonts w:ascii="Times New Roman" w:hAnsi="Times New Roman" w:cs="Times New Roman"/>
                <w:kern w:val="0"/>
                <w:sz w:val="22"/>
              </w:rPr>
            </w:pPr>
            <w:r>
              <w:rPr>
                <w:rFonts w:ascii="Times New Roman" w:hAnsi="Times New Roman" w:cs="Times New Roman"/>
                <w:kern w:val="0"/>
                <w:sz w:val="22"/>
              </w:rPr>
              <w:t>1.03</w:t>
            </w:r>
          </w:p>
        </w:tc>
        <w:tc>
          <w:tcPr>
            <w:tcW w:w="2766" w:type="dxa"/>
          </w:tcPr>
          <w:p>
            <w:pPr>
              <w:overflowPunct w:val="0"/>
              <w:adjustRightInd w:val="0"/>
              <w:ind w:firstLine="0" w:firstLineChars="0"/>
              <w:jc w:val="center"/>
              <w:textAlignment w:val="baseline"/>
              <w:rPr>
                <w:rFonts w:ascii="Times New Roman" w:hAnsi="Times New Roman" w:cs="Times New Roman"/>
                <w:kern w:val="0"/>
                <w:sz w:val="22"/>
              </w:rPr>
            </w:pPr>
            <w:r>
              <w:rPr>
                <w:rFonts w:ascii="Times New Roman" w:hAnsi="Times New Roman" w:cs="Times New Roman"/>
                <w:kern w:val="0"/>
                <w:sz w:val="22"/>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pPr>
              <w:overflowPunct w:val="0"/>
              <w:adjustRightInd w:val="0"/>
              <w:ind w:firstLine="0" w:firstLineChars="0"/>
              <w:jc w:val="center"/>
              <w:textAlignment w:val="baseline"/>
              <w:rPr>
                <w:rFonts w:ascii="Times New Roman" w:hAnsi="Times New Roman" w:cs="Times New Roman"/>
                <w:kern w:val="0"/>
                <w:sz w:val="22"/>
              </w:rPr>
            </w:pPr>
            <w:r>
              <w:rPr>
                <w:rFonts w:ascii="Times New Roman" w:hAnsi="Times New Roman" w:cs="Times New Roman"/>
                <w:kern w:val="0"/>
                <w:sz w:val="22"/>
              </w:rPr>
              <w:t>第三产业</w:t>
            </w:r>
          </w:p>
        </w:tc>
        <w:tc>
          <w:tcPr>
            <w:tcW w:w="2765" w:type="dxa"/>
          </w:tcPr>
          <w:p>
            <w:pPr>
              <w:overflowPunct w:val="0"/>
              <w:adjustRightInd w:val="0"/>
              <w:ind w:firstLine="0" w:firstLineChars="0"/>
              <w:jc w:val="center"/>
              <w:textAlignment w:val="baseline"/>
              <w:rPr>
                <w:rFonts w:ascii="Times New Roman" w:hAnsi="Times New Roman" w:cs="Times New Roman"/>
                <w:kern w:val="0"/>
                <w:sz w:val="22"/>
              </w:rPr>
            </w:pPr>
            <w:r>
              <w:rPr>
                <w:rFonts w:ascii="Times New Roman" w:hAnsi="Times New Roman" w:cs="Times New Roman"/>
                <w:kern w:val="0"/>
                <w:sz w:val="22"/>
              </w:rPr>
              <w:t>19.1</w:t>
            </w:r>
          </w:p>
        </w:tc>
        <w:tc>
          <w:tcPr>
            <w:tcW w:w="2766" w:type="dxa"/>
          </w:tcPr>
          <w:p>
            <w:pPr>
              <w:overflowPunct w:val="0"/>
              <w:adjustRightInd w:val="0"/>
              <w:ind w:firstLine="0" w:firstLineChars="0"/>
              <w:jc w:val="center"/>
              <w:textAlignment w:val="baseline"/>
              <w:rPr>
                <w:rFonts w:ascii="Times New Roman" w:hAnsi="Times New Roman" w:cs="Times New Roman"/>
                <w:kern w:val="0"/>
                <w:sz w:val="22"/>
              </w:rPr>
            </w:pPr>
            <w:r>
              <w:rPr>
                <w:rFonts w:ascii="Times New Roman" w:hAnsi="Times New Roman" w:cs="Times New Roman"/>
                <w:kern w:val="0"/>
                <w:sz w:val="22"/>
              </w:rPr>
              <w:t>7.6%</w:t>
            </w:r>
          </w:p>
        </w:tc>
      </w:tr>
    </w:tbl>
    <w:p>
      <w:pPr>
        <w:ind w:firstLine="560"/>
        <w:rPr>
          <w:rFonts w:ascii="Times New Roman" w:hAnsi="Times New Roman" w:cs="Times New Roman"/>
          <w:kern w:val="0"/>
          <w:szCs w:val="28"/>
        </w:rPr>
      </w:pPr>
      <w:r>
        <w:rPr>
          <w:rFonts w:hint="eastAsia" w:ascii="Times New Roman" w:hAnsi="Times New Roman" w:cs="Times New Roman"/>
          <w:kern w:val="0"/>
          <w:szCs w:val="28"/>
        </w:rPr>
        <w:t>国内贸易：消费市场运行平稳，</w:t>
      </w:r>
      <w:r>
        <w:rPr>
          <w:rFonts w:ascii="Times New Roman" w:hAnsi="Times New Roman" w:cs="Times New Roman"/>
          <w:kern w:val="0"/>
          <w:szCs w:val="28"/>
        </w:rPr>
        <w:t>2019年全年批发零售业商品销售额同比增长7.1%；住宿餐饮业营业额同比增长14.8%。</w:t>
      </w:r>
      <w:r>
        <w:rPr>
          <w:rFonts w:hint="eastAsia" w:ascii="Times New Roman" w:hAnsi="Times New Roman" w:cs="Times New Roman"/>
          <w:kern w:val="0"/>
          <w:szCs w:val="28"/>
        </w:rPr>
        <w:t>全社会消费品零售总额同比增长</w:t>
      </w:r>
      <w:r>
        <w:rPr>
          <w:rFonts w:ascii="Times New Roman" w:hAnsi="Times New Roman" w:cs="Times New Roman"/>
          <w:kern w:val="0"/>
          <w:szCs w:val="28"/>
        </w:rPr>
        <w:t>7.3%。其中：城镇同比增长7.3%，乡村同比增长7.3%。</w:t>
      </w:r>
    </w:p>
    <w:p>
      <w:pPr>
        <w:ind w:firstLine="560"/>
        <w:rPr>
          <w:rFonts w:ascii="Times New Roman" w:hAnsi="Times New Roman" w:cs="Times New Roman"/>
          <w:kern w:val="0"/>
          <w:szCs w:val="28"/>
        </w:rPr>
      </w:pPr>
      <w:r>
        <w:rPr>
          <w:rFonts w:hint="eastAsia" w:ascii="Times New Roman" w:hAnsi="Times New Roman" w:cs="Times New Roman"/>
          <w:kern w:val="0"/>
          <w:szCs w:val="28"/>
        </w:rPr>
        <w:t>对外经济：</w:t>
      </w:r>
      <w:r>
        <w:rPr>
          <w:rFonts w:ascii="Times New Roman" w:hAnsi="Times New Roman" w:cs="Times New Roman"/>
          <w:kern w:val="0"/>
          <w:szCs w:val="28"/>
        </w:rPr>
        <w:t>2019年实现外贸进出口总值88286万元，同比增长22%。其中：口岸进出境货物15.8万吨，同比下降43%。口岸入出境人员总计70811人次，同比下降19%。2019年抚远市进出口值及增长率</w:t>
      </w:r>
      <w:r>
        <w:rPr>
          <w:rFonts w:hint="eastAsia" w:ascii="Times New Roman" w:hAnsi="Times New Roman" w:cs="Times New Roman"/>
          <w:kern w:val="0"/>
          <w:szCs w:val="28"/>
        </w:rPr>
        <w:t>见表三。</w:t>
      </w:r>
    </w:p>
    <w:p>
      <w:pPr>
        <w:overflowPunct w:val="0"/>
        <w:adjustRightInd w:val="0"/>
        <w:ind w:firstLine="562"/>
        <w:jc w:val="center"/>
        <w:textAlignment w:val="baseline"/>
        <w:rPr>
          <w:rFonts w:ascii="Times New Roman" w:hAnsi="Times New Roman" w:cs="Times New Roman"/>
          <w:b/>
          <w:bCs/>
          <w:kern w:val="0"/>
          <w:szCs w:val="28"/>
        </w:rPr>
      </w:pPr>
      <w:r>
        <w:rPr>
          <w:rFonts w:ascii="Times New Roman" w:hAnsi="Times New Roman" w:cs="Times New Roman"/>
          <w:b/>
          <w:bCs/>
          <w:kern w:val="0"/>
          <w:szCs w:val="28"/>
        </w:rPr>
        <w:t>表</w:t>
      </w:r>
      <w:r>
        <w:rPr>
          <w:rFonts w:hint="eastAsia" w:ascii="Times New Roman" w:hAnsi="Times New Roman" w:cs="Times New Roman"/>
          <w:b/>
          <w:bCs/>
          <w:kern w:val="0"/>
          <w:szCs w:val="28"/>
        </w:rPr>
        <w:t xml:space="preserve">三 </w:t>
      </w:r>
      <w:r>
        <w:rPr>
          <w:rFonts w:ascii="Times New Roman" w:hAnsi="Times New Roman" w:cs="Times New Roman"/>
          <w:b/>
          <w:bCs/>
          <w:kern w:val="0"/>
          <w:szCs w:val="28"/>
        </w:rPr>
        <w:t>2019年抚远市进出口值及增长率</w:t>
      </w:r>
    </w:p>
    <w:tbl>
      <w:tblPr>
        <w:tblStyle w:val="7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5"/>
        <w:gridCol w:w="3184"/>
        <w:gridCol w:w="2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65" w:type="dxa"/>
          </w:tcPr>
          <w:p>
            <w:pPr>
              <w:spacing w:line="240" w:lineRule="auto"/>
              <w:ind w:firstLine="0" w:firstLineChars="0"/>
              <w:jc w:val="center"/>
              <w:rPr>
                <w:rFonts w:ascii="Times New Roman" w:hAnsi="Times New Roman" w:cs="Times New Roman"/>
                <w:kern w:val="0"/>
                <w:sz w:val="22"/>
              </w:rPr>
            </w:pPr>
          </w:p>
        </w:tc>
        <w:tc>
          <w:tcPr>
            <w:tcW w:w="3184" w:type="dxa"/>
          </w:tcPr>
          <w:p>
            <w:pPr>
              <w:spacing w:line="240" w:lineRule="auto"/>
              <w:ind w:firstLine="0" w:firstLineChars="0"/>
              <w:jc w:val="center"/>
              <w:rPr>
                <w:rFonts w:ascii="Times New Roman" w:hAnsi="Times New Roman" w:cs="Times New Roman"/>
                <w:kern w:val="0"/>
                <w:sz w:val="22"/>
              </w:rPr>
            </w:pPr>
            <w:r>
              <w:rPr>
                <w:rFonts w:ascii="Times New Roman" w:hAnsi="Times New Roman" w:cs="Times New Roman"/>
                <w:kern w:val="0"/>
                <w:sz w:val="22"/>
              </w:rPr>
              <w:t>外贸进出口值（万元）</w:t>
            </w:r>
          </w:p>
        </w:tc>
        <w:tc>
          <w:tcPr>
            <w:tcW w:w="2347" w:type="dxa"/>
          </w:tcPr>
          <w:p>
            <w:pPr>
              <w:spacing w:line="240" w:lineRule="auto"/>
              <w:ind w:firstLine="0" w:firstLineChars="0"/>
              <w:jc w:val="center"/>
              <w:rPr>
                <w:rFonts w:ascii="Times New Roman" w:hAnsi="Times New Roman" w:cs="Times New Roman"/>
                <w:kern w:val="0"/>
                <w:sz w:val="22"/>
              </w:rPr>
            </w:pPr>
            <w:r>
              <w:rPr>
                <w:rFonts w:ascii="Times New Roman" w:hAnsi="Times New Roman" w:cs="Times New Roman"/>
                <w:kern w:val="0"/>
                <w:sz w:val="22"/>
              </w:rPr>
              <w:t>增长率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pPr>
              <w:spacing w:line="240" w:lineRule="auto"/>
              <w:ind w:firstLine="0" w:firstLineChars="0"/>
              <w:jc w:val="center"/>
              <w:rPr>
                <w:rFonts w:ascii="Times New Roman" w:hAnsi="Times New Roman" w:cs="Times New Roman"/>
                <w:kern w:val="0"/>
                <w:sz w:val="22"/>
              </w:rPr>
            </w:pPr>
            <w:r>
              <w:rPr>
                <w:rFonts w:ascii="Times New Roman" w:hAnsi="Times New Roman" w:cs="Times New Roman"/>
                <w:kern w:val="0"/>
                <w:sz w:val="22"/>
              </w:rPr>
              <w:t>货物出口</w:t>
            </w:r>
          </w:p>
        </w:tc>
        <w:tc>
          <w:tcPr>
            <w:tcW w:w="3184" w:type="dxa"/>
          </w:tcPr>
          <w:p>
            <w:pPr>
              <w:spacing w:line="240" w:lineRule="auto"/>
              <w:ind w:firstLine="0" w:firstLineChars="0"/>
              <w:jc w:val="center"/>
              <w:rPr>
                <w:rFonts w:ascii="Times New Roman" w:hAnsi="Times New Roman" w:cs="Times New Roman"/>
                <w:kern w:val="0"/>
                <w:sz w:val="22"/>
              </w:rPr>
            </w:pPr>
            <w:r>
              <w:rPr>
                <w:rFonts w:ascii="Times New Roman" w:hAnsi="Times New Roman" w:cs="Times New Roman"/>
                <w:kern w:val="0"/>
                <w:sz w:val="22"/>
              </w:rPr>
              <w:t>33098</w:t>
            </w:r>
          </w:p>
        </w:tc>
        <w:tc>
          <w:tcPr>
            <w:tcW w:w="2347" w:type="dxa"/>
          </w:tcPr>
          <w:p>
            <w:pPr>
              <w:spacing w:line="240" w:lineRule="auto"/>
              <w:ind w:firstLine="0" w:firstLineChars="0"/>
              <w:jc w:val="center"/>
              <w:rPr>
                <w:rFonts w:ascii="Times New Roman" w:hAnsi="Times New Roman" w:cs="Times New Roman"/>
                <w:kern w:val="0"/>
                <w:sz w:val="22"/>
              </w:rPr>
            </w:pPr>
            <w:r>
              <w:rPr>
                <w:rFonts w:ascii="Times New Roman" w:hAnsi="Times New Roman" w:cs="Times New Roman"/>
                <w:kern w:val="0"/>
                <w:sz w:val="22"/>
              </w:rPr>
              <w:t>1539.6%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pPr>
              <w:spacing w:line="240" w:lineRule="auto"/>
              <w:ind w:firstLine="0" w:firstLineChars="0"/>
              <w:jc w:val="center"/>
              <w:rPr>
                <w:rFonts w:ascii="Times New Roman" w:hAnsi="Times New Roman" w:cs="Times New Roman"/>
                <w:kern w:val="0"/>
                <w:sz w:val="22"/>
              </w:rPr>
            </w:pPr>
            <w:r>
              <w:rPr>
                <w:rFonts w:ascii="Times New Roman" w:hAnsi="Times New Roman" w:cs="Times New Roman"/>
                <w:kern w:val="0"/>
                <w:sz w:val="22"/>
              </w:rPr>
              <w:t>货物进口</w:t>
            </w:r>
          </w:p>
        </w:tc>
        <w:tc>
          <w:tcPr>
            <w:tcW w:w="3184" w:type="dxa"/>
          </w:tcPr>
          <w:p>
            <w:pPr>
              <w:spacing w:line="240" w:lineRule="auto"/>
              <w:ind w:firstLine="0" w:firstLineChars="0"/>
              <w:jc w:val="center"/>
              <w:rPr>
                <w:rFonts w:ascii="Times New Roman" w:hAnsi="Times New Roman" w:cs="Times New Roman"/>
                <w:kern w:val="0"/>
                <w:sz w:val="22"/>
              </w:rPr>
            </w:pPr>
            <w:r>
              <w:rPr>
                <w:rFonts w:ascii="Times New Roman" w:hAnsi="Times New Roman" w:cs="Times New Roman"/>
                <w:kern w:val="0"/>
                <w:sz w:val="22"/>
              </w:rPr>
              <w:t>55188</w:t>
            </w:r>
          </w:p>
        </w:tc>
        <w:tc>
          <w:tcPr>
            <w:tcW w:w="2347" w:type="dxa"/>
          </w:tcPr>
          <w:p>
            <w:pPr>
              <w:spacing w:line="240" w:lineRule="auto"/>
              <w:ind w:firstLine="0" w:firstLineChars="0"/>
              <w:jc w:val="center"/>
              <w:rPr>
                <w:rFonts w:ascii="Times New Roman" w:hAnsi="Times New Roman" w:cs="Times New Roman"/>
                <w:kern w:val="0"/>
                <w:sz w:val="22"/>
              </w:rPr>
            </w:pPr>
            <w:r>
              <w:rPr>
                <w:rFonts w:ascii="Times New Roman" w:hAnsi="Times New Roman" w:cs="Times New Roman"/>
                <w:kern w:val="0"/>
                <w:sz w:val="22"/>
              </w:rPr>
              <w:t>-21.6%</w:t>
            </w:r>
          </w:p>
        </w:tc>
      </w:tr>
    </w:tbl>
    <w:p>
      <w:pPr>
        <w:ind w:firstLine="560"/>
        <w:rPr>
          <w:rFonts w:ascii="Times New Roman" w:hAnsi="Times New Roman" w:cs="Times New Roman"/>
          <w:kern w:val="0"/>
          <w:szCs w:val="28"/>
        </w:rPr>
      </w:pPr>
      <w:r>
        <w:rPr>
          <w:rFonts w:hint="eastAsia" w:ascii="Times New Roman" w:hAnsi="Times New Roman" w:cs="Times New Roman"/>
          <w:kern w:val="0"/>
          <w:szCs w:val="28"/>
        </w:rPr>
        <w:t>财政金融：</w:t>
      </w:r>
      <w:r>
        <w:rPr>
          <w:rFonts w:ascii="Times New Roman" w:hAnsi="Times New Roman" w:cs="Times New Roman"/>
          <w:kern w:val="0"/>
          <w:szCs w:val="28"/>
        </w:rPr>
        <w:t>2019年一般公共预算收入22910万元，同比增长20%，其中:税收收入完成10388万元，同比增长15%；一般公共预算支出279378万元，同比增长31%，其中：一般公共服务支出14803万元，同比增长37%。</w:t>
      </w:r>
      <w:r>
        <w:rPr>
          <w:rFonts w:hint="eastAsia" w:ascii="Times New Roman" w:hAnsi="Times New Roman" w:cs="Times New Roman"/>
          <w:kern w:val="0"/>
          <w:szCs w:val="28"/>
        </w:rPr>
        <w:t>金融业运行平稳，2</w:t>
      </w:r>
      <w:r>
        <w:rPr>
          <w:rFonts w:ascii="Times New Roman" w:hAnsi="Times New Roman" w:cs="Times New Roman"/>
          <w:kern w:val="0"/>
          <w:szCs w:val="28"/>
        </w:rPr>
        <w:t>019</w:t>
      </w:r>
      <w:r>
        <w:rPr>
          <w:rFonts w:hint="eastAsia" w:ascii="Times New Roman" w:hAnsi="Times New Roman" w:cs="Times New Roman"/>
          <w:kern w:val="0"/>
          <w:szCs w:val="28"/>
        </w:rPr>
        <w:t>年末各项存贷款稳步增长</w:t>
      </w:r>
      <w:r>
        <w:rPr>
          <w:rFonts w:ascii="Times New Roman" w:hAnsi="Times New Roman" w:cs="Times New Roman"/>
          <w:kern w:val="0"/>
          <w:szCs w:val="28"/>
        </w:rPr>
        <w:t>。</w:t>
      </w:r>
    </w:p>
    <w:p>
      <w:pPr>
        <w:overflowPunct w:val="0"/>
        <w:adjustRightInd w:val="0"/>
        <w:ind w:firstLine="562"/>
        <w:jc w:val="center"/>
        <w:textAlignment w:val="baseline"/>
        <w:rPr>
          <w:rFonts w:ascii="Times New Roman" w:hAnsi="Times New Roman" w:cs="Times New Roman"/>
          <w:b/>
          <w:bCs/>
          <w:kern w:val="0"/>
          <w:szCs w:val="28"/>
        </w:rPr>
      </w:pPr>
      <w:bookmarkStart w:id="50" w:name="_Toc426195935"/>
      <w:r>
        <w:rPr>
          <w:rFonts w:hint="eastAsia" w:ascii="Times New Roman" w:hAnsi="Times New Roman" w:cs="Times New Roman"/>
          <w:b/>
          <w:bCs/>
          <w:kern w:val="0"/>
          <w:szCs w:val="28"/>
        </w:rPr>
        <w:t>表四</w:t>
      </w:r>
      <w:r>
        <w:rPr>
          <w:rFonts w:ascii="Times New Roman" w:hAnsi="Times New Roman" w:cs="Times New Roman"/>
          <w:b/>
          <w:bCs/>
          <w:kern w:val="0"/>
          <w:szCs w:val="28"/>
        </w:rPr>
        <w:t xml:space="preserve"> </w:t>
      </w:r>
      <w:r>
        <w:rPr>
          <w:rFonts w:hint="eastAsia" w:ascii="Times New Roman" w:hAnsi="Times New Roman" w:cs="Times New Roman"/>
          <w:b/>
          <w:bCs/>
          <w:kern w:val="0"/>
          <w:szCs w:val="28"/>
        </w:rPr>
        <w:t>201</w:t>
      </w:r>
      <w:r>
        <w:rPr>
          <w:rFonts w:ascii="Times New Roman" w:hAnsi="Times New Roman" w:cs="Times New Roman"/>
          <w:b/>
          <w:bCs/>
          <w:kern w:val="0"/>
          <w:szCs w:val="28"/>
        </w:rPr>
        <w:t>9</w:t>
      </w:r>
      <w:r>
        <w:rPr>
          <w:rFonts w:hint="eastAsia" w:ascii="Times New Roman" w:hAnsi="Times New Roman" w:cs="Times New Roman"/>
          <w:b/>
          <w:bCs/>
          <w:kern w:val="0"/>
          <w:szCs w:val="28"/>
        </w:rPr>
        <w:t>年抚远市存贷款值及增长率</w:t>
      </w:r>
    </w:p>
    <w:tbl>
      <w:tblPr>
        <w:tblStyle w:val="7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5"/>
        <w:gridCol w:w="2765"/>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pPr>
              <w:spacing w:line="240" w:lineRule="auto"/>
              <w:ind w:firstLine="0" w:firstLineChars="0"/>
              <w:jc w:val="center"/>
              <w:rPr>
                <w:rFonts w:ascii="Times New Roman" w:hAnsi="Times New Roman" w:cs="Times New Roman"/>
                <w:kern w:val="0"/>
                <w:sz w:val="22"/>
              </w:rPr>
            </w:pPr>
          </w:p>
        </w:tc>
        <w:tc>
          <w:tcPr>
            <w:tcW w:w="2765" w:type="dxa"/>
          </w:tcPr>
          <w:p>
            <w:pPr>
              <w:spacing w:line="240" w:lineRule="auto"/>
              <w:ind w:firstLine="0" w:firstLineChars="0"/>
              <w:jc w:val="center"/>
              <w:rPr>
                <w:rFonts w:ascii="Times New Roman" w:hAnsi="Times New Roman" w:cs="Times New Roman"/>
                <w:kern w:val="0"/>
                <w:sz w:val="22"/>
              </w:rPr>
            </w:pPr>
            <w:r>
              <w:rPr>
                <w:rFonts w:hint="eastAsia" w:ascii="Times New Roman" w:hAnsi="Times New Roman" w:cs="Times New Roman"/>
                <w:kern w:val="0"/>
                <w:sz w:val="22"/>
              </w:rPr>
              <w:t>金额（万元）</w:t>
            </w:r>
          </w:p>
        </w:tc>
        <w:tc>
          <w:tcPr>
            <w:tcW w:w="2766" w:type="dxa"/>
          </w:tcPr>
          <w:p>
            <w:pPr>
              <w:spacing w:line="240" w:lineRule="auto"/>
              <w:ind w:firstLine="0" w:firstLineChars="0"/>
              <w:jc w:val="center"/>
              <w:rPr>
                <w:rFonts w:ascii="Times New Roman" w:hAnsi="Times New Roman" w:cs="Times New Roman"/>
                <w:kern w:val="0"/>
                <w:sz w:val="22"/>
              </w:rPr>
            </w:pPr>
            <w:r>
              <w:rPr>
                <w:rFonts w:hint="eastAsia" w:ascii="Times New Roman" w:hAnsi="Times New Roman" w:cs="Times New Roman"/>
                <w:kern w:val="0"/>
                <w:sz w:val="22"/>
              </w:rPr>
              <w:t>增长率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pPr>
              <w:spacing w:line="240" w:lineRule="auto"/>
              <w:ind w:firstLine="0" w:firstLineChars="0"/>
              <w:jc w:val="center"/>
              <w:rPr>
                <w:rFonts w:ascii="Times New Roman" w:hAnsi="Times New Roman" w:cs="Times New Roman"/>
                <w:kern w:val="0"/>
                <w:sz w:val="22"/>
              </w:rPr>
            </w:pPr>
            <w:r>
              <w:rPr>
                <w:rFonts w:hint="eastAsia" w:ascii="Times New Roman" w:hAnsi="Times New Roman" w:cs="Times New Roman"/>
                <w:kern w:val="0"/>
                <w:sz w:val="22"/>
              </w:rPr>
              <w:t>金融机构各项存款</w:t>
            </w:r>
          </w:p>
        </w:tc>
        <w:tc>
          <w:tcPr>
            <w:tcW w:w="2765" w:type="dxa"/>
          </w:tcPr>
          <w:p>
            <w:pPr>
              <w:spacing w:line="240" w:lineRule="auto"/>
              <w:ind w:firstLine="0" w:firstLineChars="0"/>
              <w:jc w:val="center"/>
              <w:rPr>
                <w:rFonts w:ascii="Times New Roman" w:hAnsi="Times New Roman" w:cs="Times New Roman"/>
                <w:kern w:val="0"/>
                <w:sz w:val="22"/>
              </w:rPr>
            </w:pPr>
            <w:r>
              <w:rPr>
                <w:rFonts w:ascii="Times New Roman" w:hAnsi="Times New Roman" w:cs="Times New Roman"/>
                <w:kern w:val="0"/>
                <w:sz w:val="22"/>
              </w:rPr>
              <w:t>604140</w:t>
            </w:r>
          </w:p>
        </w:tc>
        <w:tc>
          <w:tcPr>
            <w:tcW w:w="2766" w:type="dxa"/>
          </w:tcPr>
          <w:p>
            <w:pPr>
              <w:spacing w:line="240" w:lineRule="auto"/>
              <w:ind w:firstLine="0" w:firstLineChars="0"/>
              <w:jc w:val="center"/>
              <w:rPr>
                <w:rFonts w:ascii="Times New Roman" w:hAnsi="Times New Roman" w:cs="Times New Roman"/>
                <w:kern w:val="0"/>
                <w:sz w:val="22"/>
              </w:rPr>
            </w:pPr>
            <w:r>
              <w:rPr>
                <w:rFonts w:ascii="Times New Roman" w:hAnsi="Times New Roman" w:cs="Times New Roman"/>
                <w:kern w:val="0"/>
                <w:sz w:val="22"/>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pPr>
              <w:spacing w:line="240" w:lineRule="auto"/>
              <w:ind w:firstLine="0" w:firstLineChars="0"/>
              <w:jc w:val="center"/>
              <w:rPr>
                <w:rFonts w:ascii="Times New Roman" w:hAnsi="Times New Roman" w:cs="Times New Roman"/>
                <w:kern w:val="0"/>
                <w:sz w:val="22"/>
              </w:rPr>
            </w:pPr>
            <w:r>
              <w:rPr>
                <w:rFonts w:hint="eastAsia" w:ascii="Times New Roman" w:hAnsi="Times New Roman" w:cs="Times New Roman"/>
                <w:kern w:val="0"/>
                <w:sz w:val="22"/>
              </w:rPr>
              <w:t>住户存款</w:t>
            </w:r>
          </w:p>
        </w:tc>
        <w:tc>
          <w:tcPr>
            <w:tcW w:w="2765" w:type="dxa"/>
          </w:tcPr>
          <w:p>
            <w:pPr>
              <w:spacing w:line="240" w:lineRule="auto"/>
              <w:ind w:firstLine="0" w:firstLineChars="0"/>
              <w:jc w:val="center"/>
              <w:rPr>
                <w:rFonts w:ascii="Times New Roman" w:hAnsi="Times New Roman" w:cs="Times New Roman"/>
                <w:kern w:val="0"/>
                <w:sz w:val="22"/>
              </w:rPr>
            </w:pPr>
            <w:r>
              <w:rPr>
                <w:rFonts w:ascii="Times New Roman" w:hAnsi="Times New Roman" w:cs="Times New Roman"/>
                <w:kern w:val="0"/>
                <w:sz w:val="22"/>
              </w:rPr>
              <w:t>365901</w:t>
            </w:r>
          </w:p>
        </w:tc>
        <w:tc>
          <w:tcPr>
            <w:tcW w:w="2766" w:type="dxa"/>
          </w:tcPr>
          <w:p>
            <w:pPr>
              <w:spacing w:line="240" w:lineRule="auto"/>
              <w:ind w:firstLine="0" w:firstLineChars="0"/>
              <w:jc w:val="center"/>
              <w:rPr>
                <w:rFonts w:ascii="Times New Roman" w:hAnsi="Times New Roman" w:cs="Times New Roman"/>
                <w:kern w:val="0"/>
                <w:sz w:val="22"/>
              </w:rPr>
            </w:pPr>
            <w:r>
              <w:rPr>
                <w:rFonts w:ascii="Times New Roman" w:hAnsi="Times New Roman" w:cs="Times New Roman"/>
                <w:kern w:val="0"/>
                <w:sz w:val="22"/>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pPr>
              <w:spacing w:line="240" w:lineRule="auto"/>
              <w:ind w:firstLine="0" w:firstLineChars="0"/>
              <w:jc w:val="center"/>
              <w:rPr>
                <w:rFonts w:ascii="Times New Roman" w:hAnsi="Times New Roman" w:cs="Times New Roman"/>
                <w:kern w:val="0"/>
                <w:sz w:val="22"/>
              </w:rPr>
            </w:pPr>
            <w:r>
              <w:rPr>
                <w:rFonts w:hint="eastAsia" w:ascii="Times New Roman" w:hAnsi="Times New Roman" w:cs="Times New Roman"/>
                <w:kern w:val="0"/>
                <w:sz w:val="22"/>
              </w:rPr>
              <w:t>广义政府存款</w:t>
            </w:r>
          </w:p>
        </w:tc>
        <w:tc>
          <w:tcPr>
            <w:tcW w:w="2765" w:type="dxa"/>
          </w:tcPr>
          <w:p>
            <w:pPr>
              <w:spacing w:line="240" w:lineRule="auto"/>
              <w:ind w:firstLine="0" w:firstLineChars="0"/>
              <w:jc w:val="center"/>
              <w:rPr>
                <w:rFonts w:ascii="Times New Roman" w:hAnsi="Times New Roman" w:cs="Times New Roman"/>
                <w:kern w:val="0"/>
                <w:sz w:val="22"/>
              </w:rPr>
            </w:pPr>
            <w:r>
              <w:rPr>
                <w:rFonts w:ascii="Times New Roman" w:hAnsi="Times New Roman" w:cs="Times New Roman"/>
                <w:kern w:val="0"/>
                <w:sz w:val="22"/>
              </w:rPr>
              <w:t>167169</w:t>
            </w:r>
          </w:p>
        </w:tc>
        <w:tc>
          <w:tcPr>
            <w:tcW w:w="2766" w:type="dxa"/>
          </w:tcPr>
          <w:p>
            <w:pPr>
              <w:spacing w:line="240" w:lineRule="auto"/>
              <w:ind w:firstLine="0" w:firstLineChars="0"/>
              <w:jc w:val="center"/>
              <w:rPr>
                <w:rFonts w:ascii="Times New Roman" w:hAnsi="Times New Roman" w:cs="Times New Roman"/>
                <w:kern w:val="0"/>
                <w:sz w:val="22"/>
              </w:rPr>
            </w:pPr>
            <w:r>
              <w:rPr>
                <w:rFonts w:ascii="Times New Roman" w:hAnsi="Times New Roman" w:cs="Times New Roman"/>
                <w:kern w:val="0"/>
                <w:sz w:val="22"/>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pPr>
              <w:spacing w:line="240" w:lineRule="auto"/>
              <w:ind w:firstLine="0" w:firstLineChars="0"/>
              <w:jc w:val="center"/>
              <w:rPr>
                <w:rFonts w:ascii="Times New Roman" w:hAnsi="Times New Roman" w:cs="Times New Roman"/>
                <w:kern w:val="0"/>
                <w:sz w:val="22"/>
              </w:rPr>
            </w:pPr>
            <w:r>
              <w:rPr>
                <w:rFonts w:hint="eastAsia" w:ascii="Times New Roman" w:hAnsi="Times New Roman" w:cs="Times New Roman"/>
                <w:kern w:val="0"/>
                <w:sz w:val="22"/>
              </w:rPr>
              <w:t>各项贷款</w:t>
            </w:r>
          </w:p>
        </w:tc>
        <w:tc>
          <w:tcPr>
            <w:tcW w:w="2765" w:type="dxa"/>
          </w:tcPr>
          <w:p>
            <w:pPr>
              <w:spacing w:line="240" w:lineRule="auto"/>
              <w:ind w:firstLine="0" w:firstLineChars="0"/>
              <w:jc w:val="center"/>
              <w:rPr>
                <w:rFonts w:ascii="Times New Roman" w:hAnsi="Times New Roman" w:cs="Times New Roman"/>
                <w:kern w:val="0"/>
                <w:sz w:val="22"/>
              </w:rPr>
            </w:pPr>
            <w:r>
              <w:rPr>
                <w:rFonts w:ascii="Times New Roman" w:hAnsi="Times New Roman" w:cs="Times New Roman"/>
                <w:kern w:val="0"/>
                <w:sz w:val="22"/>
              </w:rPr>
              <w:t>345394</w:t>
            </w:r>
          </w:p>
        </w:tc>
        <w:tc>
          <w:tcPr>
            <w:tcW w:w="2766" w:type="dxa"/>
          </w:tcPr>
          <w:p>
            <w:pPr>
              <w:spacing w:line="240" w:lineRule="auto"/>
              <w:ind w:firstLine="0" w:firstLineChars="0"/>
              <w:jc w:val="center"/>
              <w:rPr>
                <w:rFonts w:ascii="Times New Roman" w:hAnsi="Times New Roman" w:cs="Times New Roman"/>
                <w:kern w:val="0"/>
                <w:sz w:val="22"/>
              </w:rPr>
            </w:pPr>
            <w:r>
              <w:rPr>
                <w:rFonts w:ascii="Times New Roman" w:hAnsi="Times New Roman" w:cs="Times New Roman"/>
                <w:kern w:val="0"/>
                <w:sz w:val="22"/>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pPr>
              <w:spacing w:line="240" w:lineRule="auto"/>
              <w:ind w:firstLine="0" w:firstLineChars="0"/>
              <w:jc w:val="center"/>
              <w:rPr>
                <w:rFonts w:ascii="Times New Roman" w:hAnsi="Times New Roman" w:cs="Times New Roman"/>
                <w:kern w:val="0"/>
                <w:sz w:val="22"/>
              </w:rPr>
            </w:pPr>
            <w:r>
              <w:rPr>
                <w:rFonts w:hint="eastAsia" w:ascii="Times New Roman" w:hAnsi="Times New Roman" w:cs="Times New Roman"/>
                <w:kern w:val="0"/>
                <w:sz w:val="22"/>
              </w:rPr>
              <w:t>住户贷款</w:t>
            </w:r>
          </w:p>
        </w:tc>
        <w:tc>
          <w:tcPr>
            <w:tcW w:w="2765" w:type="dxa"/>
          </w:tcPr>
          <w:p>
            <w:pPr>
              <w:spacing w:line="240" w:lineRule="auto"/>
              <w:ind w:firstLine="0" w:firstLineChars="0"/>
              <w:jc w:val="center"/>
              <w:rPr>
                <w:rFonts w:ascii="Times New Roman" w:hAnsi="Times New Roman" w:cs="Times New Roman"/>
                <w:kern w:val="0"/>
                <w:sz w:val="22"/>
              </w:rPr>
            </w:pPr>
            <w:r>
              <w:rPr>
                <w:rFonts w:ascii="Times New Roman" w:hAnsi="Times New Roman" w:cs="Times New Roman"/>
                <w:kern w:val="0"/>
                <w:sz w:val="22"/>
              </w:rPr>
              <w:t>236736</w:t>
            </w:r>
          </w:p>
        </w:tc>
        <w:tc>
          <w:tcPr>
            <w:tcW w:w="2766" w:type="dxa"/>
          </w:tcPr>
          <w:p>
            <w:pPr>
              <w:spacing w:line="240" w:lineRule="auto"/>
              <w:ind w:firstLine="0" w:firstLineChars="0"/>
              <w:jc w:val="center"/>
              <w:rPr>
                <w:rFonts w:ascii="Times New Roman" w:hAnsi="Times New Roman" w:cs="Times New Roman"/>
                <w:kern w:val="0"/>
                <w:sz w:val="22"/>
              </w:rPr>
            </w:pPr>
            <w:r>
              <w:rPr>
                <w:rFonts w:ascii="Times New Roman" w:hAnsi="Times New Roman" w:cs="Times New Roman"/>
                <w:kern w:val="0"/>
                <w:sz w:val="22"/>
              </w:rPr>
              <w:t>5%</w:t>
            </w:r>
          </w:p>
        </w:tc>
      </w:tr>
    </w:tbl>
    <w:p>
      <w:pPr>
        <w:keepNext/>
        <w:keepLines/>
        <w:ind w:firstLine="602"/>
        <w:jc w:val="left"/>
        <w:outlineLvl w:val="0"/>
        <w:rPr>
          <w:rFonts w:ascii="Times New Roman" w:hAnsi="Times New Roman"/>
          <w:b/>
          <w:color w:val="000000"/>
          <w:kern w:val="44"/>
          <w:sz w:val="30"/>
          <w:szCs w:val="30"/>
        </w:rPr>
      </w:pPr>
      <w:bookmarkStart w:id="51" w:name="_Toc77601137"/>
      <w:bookmarkStart w:id="52" w:name="_Toc77600813"/>
      <w:bookmarkStart w:id="53" w:name="_Toc77601319"/>
      <w:r>
        <w:rPr>
          <w:b/>
          <w:sz w:val="30"/>
          <w:szCs w:val="30"/>
        </w:rPr>
        <w:t>（</w:t>
      </w:r>
      <w:r>
        <w:rPr>
          <w:rFonts w:hint="eastAsia"/>
          <w:b/>
          <w:sz w:val="30"/>
          <w:szCs w:val="30"/>
        </w:rPr>
        <w:t>四</w:t>
      </w:r>
      <w:r>
        <w:rPr>
          <w:b/>
          <w:sz w:val="30"/>
          <w:szCs w:val="30"/>
        </w:rPr>
        <w:t>）</w:t>
      </w:r>
      <w:r>
        <w:rPr>
          <w:rFonts w:hint="eastAsia" w:ascii="Times New Roman" w:hAnsi="Times New Roman"/>
          <w:b/>
          <w:color w:val="000000"/>
          <w:kern w:val="44"/>
          <w:sz w:val="30"/>
          <w:szCs w:val="30"/>
        </w:rPr>
        <w:t>主要资源概况</w:t>
      </w:r>
      <w:bookmarkEnd w:id="51"/>
      <w:bookmarkEnd w:id="52"/>
      <w:bookmarkEnd w:id="53"/>
    </w:p>
    <w:p>
      <w:pPr>
        <w:adjustRightInd w:val="0"/>
        <w:ind w:firstLine="560"/>
        <w:textAlignment w:val="baseline"/>
        <w:rPr>
          <w:rFonts w:ascii="Times New Roman" w:hAnsi="Times New Roman" w:cs="Times New Roman"/>
          <w:color w:val="333333"/>
          <w:kern w:val="0"/>
          <w:szCs w:val="28"/>
        </w:rPr>
      </w:pPr>
      <w:r>
        <w:rPr>
          <w:rFonts w:hint="eastAsia" w:ascii="Times New Roman" w:hAnsi="Times New Roman" w:cs="Times New Roman"/>
          <w:kern w:val="0"/>
          <w:szCs w:val="28"/>
        </w:rPr>
        <w:t>抚远市境内水系发育，江河纵横，有黑龙江、乌苏里江两大水系，大小河流</w:t>
      </w:r>
      <w:r>
        <w:rPr>
          <w:rFonts w:ascii="Times New Roman" w:hAnsi="Times New Roman" w:cs="Times New Roman"/>
          <w:kern w:val="0"/>
          <w:szCs w:val="28"/>
        </w:rPr>
        <w:t>33条，湖泊2座。其中流域面积较大的重要河流7条，分别为：黑龙江、乌苏里江、浓江河、别拉洪河、鸭绿河、黑鱼泡河、通江河。水面面积1km</w:t>
      </w:r>
      <w:r>
        <w:rPr>
          <w:rFonts w:ascii="Times New Roman" w:hAnsi="Times New Roman" w:cs="Times New Roman"/>
          <w:kern w:val="0"/>
          <w:szCs w:val="28"/>
          <w:vertAlign w:val="superscript"/>
        </w:rPr>
        <w:t>2</w:t>
      </w:r>
      <w:r>
        <w:rPr>
          <w:rFonts w:ascii="Times New Roman" w:hAnsi="Times New Roman" w:cs="Times New Roman"/>
          <w:kern w:val="0"/>
          <w:szCs w:val="28"/>
        </w:rPr>
        <w:t>以上的湖泊2个，分别为大力加湖和东湖。</w:t>
      </w:r>
      <w:bookmarkStart w:id="54" w:name="_Hlk73559496"/>
      <w:r>
        <w:rPr>
          <w:rFonts w:hint="eastAsia" w:ascii="Times New Roman" w:hAnsi="Times New Roman" w:cs="Times New Roman"/>
          <w:kern w:val="0"/>
          <w:szCs w:val="28"/>
        </w:rPr>
        <w:t>抚远市的水资源总量为6251亿立方米，为佳木斯市所属水资源量第三大的城市，其主要供水量主要来自于地下水资源，约为</w:t>
      </w:r>
      <w:r>
        <w:rPr>
          <w:rFonts w:ascii="Times New Roman" w:hAnsi="Times New Roman" w:cs="Times New Roman"/>
          <w:kern w:val="0"/>
          <w:szCs w:val="28"/>
        </w:rPr>
        <w:t>16.86</w:t>
      </w:r>
      <w:r>
        <w:rPr>
          <w:rFonts w:hint="eastAsia" w:ascii="Times New Roman" w:hAnsi="Times New Roman" w:cs="Times New Roman"/>
          <w:kern w:val="0"/>
          <w:szCs w:val="28"/>
        </w:rPr>
        <w:t>亿立方米，地表水源供水量为0.02亿立方米。</w:t>
      </w:r>
      <w:bookmarkEnd w:id="50"/>
      <w:bookmarkEnd w:id="54"/>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抚远市内山产中草药品种多，分布范围广，许多品种储藏量非常高。抚远市的野生动物种类较多，分布范围较广。有珍贵动物</w:t>
      </w:r>
      <w:r>
        <w:rPr>
          <w:rFonts w:ascii="Times New Roman" w:hAnsi="Times New Roman" w:cs="Times New Roman"/>
          <w:kern w:val="0"/>
          <w:szCs w:val="28"/>
        </w:rPr>
        <w:t>5种、经济动物8种、珍禽数种和上百种一般鸟类。普查发现市辖区内珍贵动物马鹿18只，猞猁11只，雪兔570只、水獭117只，另外还有紫貂、黄鼠、黑熊、狐狸、麝鼠、野猪、狼、狍子、獾子、乌苏里貉等十数种经济动物。</w:t>
      </w:r>
      <w:r>
        <w:rPr>
          <w:rFonts w:hint="eastAsia" w:ascii="Times New Roman" w:hAnsi="Times New Roman" w:cs="Times New Roman"/>
          <w:kern w:val="0"/>
          <w:szCs w:val="28"/>
        </w:rPr>
        <w:t>抚远以盛产鲟鱼、鳇鱼、大马哈鱼、“三花五罗”等名优特鱼而闻名遐迩，是“中国鲟鳇鱼之乡”、“中国大马哈鱼之乡”，品种有</w:t>
      </w:r>
      <w:r>
        <w:rPr>
          <w:rFonts w:ascii="Times New Roman" w:hAnsi="Times New Roman" w:cs="Times New Roman"/>
          <w:kern w:val="0"/>
          <w:szCs w:val="28"/>
        </w:rPr>
        <w:t>21科105种。</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抚远市矿产资源种类多样，开发利用的有花岗岩，准备开发的有黄金、草炭，其它矿产资源有锰、锡、汞。黄金资源分布面积大，品位低，总储量高。除别拉洪乡外，其他各乡辖区均有黄金资源。花岗岩资源主要分布在市域北部的抚远山和科勒木山一带</w:t>
      </w:r>
      <w:r>
        <w:rPr>
          <w:rFonts w:ascii="Times New Roman" w:hAnsi="Times New Roman" w:cs="Times New Roman"/>
          <w:kern w:val="0"/>
          <w:szCs w:val="28"/>
        </w:rPr>
        <w:t>。</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近年来，抚远市抓住被列入国家全域旅游示范区创建单位的机遇，着力打好“华夏东极”“淡水鱼都”“两江双城”和“两国一岛”四张牌，突出跨境游、界江游、环岛游、民俗游主线，丰富华夏东极、黑瞎子岛主打旅游产品，叫响华夏东极特色旅游品牌，并强化旅游营销推介，改善旅游配套服务，定期组织旅游企业到全国各大城市和俄罗斯参加旅游产品推介会，与国内外大型知名旅游企业加强合作，通过互联网、各种节会、主题旅游等载体，全力拓展客源市场，助力旅游产业持续升温</w:t>
      </w:r>
      <w:r>
        <w:rPr>
          <w:rFonts w:ascii="Times New Roman" w:hAnsi="Times New Roman" w:cs="Times New Roman"/>
          <w:kern w:val="0"/>
          <w:szCs w:val="28"/>
        </w:rPr>
        <w:t>。</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2016年5月国家主席习近平亲临调研考察，并作出重要指示“黑瞎子岛重在生态保护，在保护基础上建设一些基础设施和发展旅游。”总书记的到来明确了黑瞎子岛的工作方向，并极大的提升了黑瞎子岛的知名度。黑瞎子岛景区于2016年12月被黑龙江景区质量等级评定委员会评定为AAAA级旅游景区。岛上原生态的湿地风光美不胜收，并建有黑瞎子岛湿地公园、乌苏大桥、东极宝塔、黑瞎子岛回归交接处、俄罗斯兵营旧址、探秘野熊园等景点供游客欣赏。</w:t>
      </w:r>
    </w:p>
    <w:p>
      <w:pPr>
        <w:pStyle w:val="5"/>
      </w:pPr>
      <w:bookmarkStart w:id="55" w:name="_Toc1246228921_WPSOffice_Level3"/>
      <w:bookmarkStart w:id="56" w:name="_Toc1838898509_WPSOffice_Level3"/>
      <w:bookmarkStart w:id="57" w:name="_Toc27260"/>
      <w:bookmarkStart w:id="58" w:name="_Toc77349622"/>
      <w:bookmarkStart w:id="59" w:name="_Toc77601138"/>
      <w:bookmarkStart w:id="60" w:name="_Toc77601320"/>
      <w:r>
        <w:t>二、</w:t>
      </w:r>
      <w:bookmarkEnd w:id="55"/>
      <w:bookmarkEnd w:id="56"/>
      <w:bookmarkEnd w:id="57"/>
      <w:r>
        <w:t>生态环境保护工作成效</w:t>
      </w:r>
      <w:bookmarkEnd w:id="58"/>
      <w:bookmarkEnd w:id="59"/>
      <w:bookmarkEnd w:id="60"/>
    </w:p>
    <w:p>
      <w:pPr>
        <w:autoSpaceDE w:val="0"/>
        <w:autoSpaceDN w:val="0"/>
        <w:adjustRightInd w:val="0"/>
        <w:ind w:firstLine="560"/>
        <w:rPr>
          <w:rFonts w:ascii="Times New Roman" w:hAnsi="Times New Roman" w:cs="Times New Roman"/>
          <w:kern w:val="0"/>
          <w:szCs w:val="28"/>
        </w:rPr>
      </w:pPr>
      <w:r>
        <w:rPr>
          <w:rFonts w:hint="eastAsia" w:ascii="Times New Roman" w:hAnsi="Times New Roman" w:cs="Times New Roman"/>
          <w:kern w:val="0"/>
          <w:szCs w:val="28"/>
        </w:rPr>
        <w:t>多年来抚远市坚持生态优先、绿色发展的原则，牢固树立绿水青山就是金山银山的理念。围绕打造华夏东极生态环境支撑区建设，深入实施山水林田湖草生态保护和修复工程，着力解决环境污染突出问题，完善生态文明制度体系，加强自然保护区的生态建设和修复，严格保护江河、湖泊水域岸线，建设生态安全屏障。对市内重点河道生态走廊进行严格保护，有效控制区域生态绿地，逐步实现水系共治，保护水域岸线，恢复生态环境。目前抚远市正在成为全国著名的避暑旅游城市，旅游业、养老健康产业、文化产业蓬勃发展</w:t>
      </w:r>
      <w:r>
        <w:rPr>
          <w:rFonts w:ascii="Times New Roman" w:hAnsi="Times New Roman" w:cs="Times New Roman"/>
          <w:kern w:val="0"/>
          <w:szCs w:val="28"/>
        </w:rPr>
        <w:t>。</w:t>
      </w:r>
    </w:p>
    <w:p>
      <w:pPr>
        <w:autoSpaceDE w:val="0"/>
        <w:autoSpaceDN w:val="0"/>
        <w:adjustRightInd w:val="0"/>
        <w:ind w:firstLine="560"/>
        <w:rPr>
          <w:rFonts w:ascii="Times New Roman" w:hAnsi="Times New Roman" w:cs="Times New Roman"/>
          <w:kern w:val="0"/>
          <w:szCs w:val="28"/>
        </w:rPr>
      </w:pPr>
      <w:r>
        <w:rPr>
          <w:rFonts w:hint="eastAsia" w:ascii="Times New Roman" w:hAnsi="Times New Roman" w:cs="Times New Roman"/>
          <w:kern w:val="0"/>
          <w:szCs w:val="28"/>
        </w:rPr>
        <w:t>黑龙江黑瞎子岛国家级自然保护区位于黑龙江省抚远市黑瞎子岛西部，保护区北邻黑龙江，南邻抚远水道。保护区总面积12417公顷，其中核心区面积6415公顷，缓冲区面积2517公顷，实验区面积3485公顷。黑瞎子岛保护区属于“自然生态系统类”中的“内陆湿地和水域生态系统类型”，主要保护对象是沼泽、水域、草甸等生态系统以及国家重点保护野生动植物及其栖息地。</w:t>
      </w:r>
    </w:p>
    <w:p>
      <w:pPr>
        <w:ind w:firstLine="560"/>
        <w:rPr>
          <w:rFonts w:ascii="Times New Roman" w:hAnsi="Times New Roman" w:cs="Times New Roman"/>
          <w:szCs w:val="28"/>
        </w:rPr>
      </w:pPr>
      <w:r>
        <w:rPr>
          <w:rFonts w:hint="eastAsia" w:ascii="Times New Roman" w:hAnsi="Times New Roman" w:cs="Times New Roman"/>
          <w:kern w:val="0"/>
          <w:szCs w:val="28"/>
        </w:rPr>
        <w:t>抚远市环境质量总体呈稳定向好态势，环境质量总体概况：地表水质量有所提高，环境空气质量总体平稳向好，质量达到国家二级标准。生态环境信息公开率达到100%；生态环境状况指数63.5%；植被覆盖指数82.5%；区域环境噪声达2类标准；交通噪声保持稳定；土地胁迫指数0.5；危险废物利用处置率达到100%。</w:t>
      </w:r>
      <w:r>
        <w:rPr>
          <w:rFonts w:ascii="Times New Roman" w:hAnsi="Times New Roman" w:cs="Times New Roman"/>
          <w:szCs w:val="28"/>
        </w:rPr>
        <w:t xml:space="preserve"> </w:t>
      </w:r>
    </w:p>
    <w:p>
      <w:pPr>
        <w:widowControl/>
        <w:shd w:val="clear" w:color="auto" w:fill="FFFFFF"/>
        <w:adjustRightInd w:val="0"/>
        <w:snapToGrid w:val="0"/>
        <w:spacing w:after="217" w:afterLines="50" w:line="600" w:lineRule="exact"/>
        <w:ind w:firstLine="723"/>
        <w:jc w:val="center"/>
        <w:outlineLvl w:val="1"/>
        <w:rPr>
          <w:rFonts w:ascii="宋体" w:hAnsi="宋体" w:cs="Times New Roman"/>
          <w:b/>
          <w:bCs/>
          <w:sz w:val="36"/>
          <w:szCs w:val="36"/>
        </w:rPr>
      </w:pPr>
      <w:bookmarkStart w:id="61" w:name="_Toc17308"/>
      <w:bookmarkStart w:id="62" w:name="_Toc1838898509_WPSOffice_Level2"/>
      <w:bookmarkStart w:id="63" w:name="_Toc1246228921_WPSOffice_Level2"/>
      <w:bookmarkStart w:id="64" w:name="_Toc77349623"/>
      <w:bookmarkStart w:id="65" w:name="_Toc74642344"/>
    </w:p>
    <w:p>
      <w:pPr>
        <w:pStyle w:val="4"/>
      </w:pPr>
      <w:bookmarkStart w:id="66" w:name="_Toc77601139"/>
      <w:bookmarkStart w:id="67" w:name="_Toc77601321"/>
      <w:bookmarkStart w:id="68" w:name="_Toc77600814"/>
      <w:r>
        <w:t xml:space="preserve">第二节  </w:t>
      </w:r>
      <w:bookmarkEnd w:id="61"/>
      <w:bookmarkEnd w:id="62"/>
      <w:bookmarkEnd w:id="63"/>
      <w:r>
        <w:t>挑战与机遇</w:t>
      </w:r>
      <w:bookmarkEnd w:id="64"/>
      <w:bookmarkEnd w:id="66"/>
      <w:bookmarkEnd w:id="67"/>
      <w:bookmarkEnd w:id="68"/>
    </w:p>
    <w:p>
      <w:pPr>
        <w:pStyle w:val="5"/>
      </w:pPr>
      <w:bookmarkStart w:id="69" w:name="_Toc77601140"/>
      <w:bookmarkStart w:id="70" w:name="_Toc77601322"/>
      <w:bookmarkStart w:id="71" w:name="_Toc77349624"/>
      <w:r>
        <w:t>一、问题与挑战</w:t>
      </w:r>
      <w:bookmarkEnd w:id="69"/>
      <w:bookmarkEnd w:id="70"/>
      <w:bookmarkEnd w:id="71"/>
    </w:p>
    <w:p>
      <w:pPr>
        <w:ind w:firstLine="596" w:firstLineChars="198"/>
        <w:outlineLvl w:val="3"/>
        <w:rPr>
          <w:b/>
          <w:sz w:val="30"/>
          <w:szCs w:val="30"/>
        </w:rPr>
      </w:pPr>
      <w:r>
        <w:rPr>
          <w:b/>
          <w:sz w:val="30"/>
          <w:szCs w:val="30"/>
        </w:rPr>
        <w:t>（一）存在的主要问题</w:t>
      </w:r>
    </w:p>
    <w:p>
      <w:pPr>
        <w:keepNext/>
        <w:keepLines/>
        <w:ind w:firstLine="600"/>
        <w:jc w:val="left"/>
        <w:outlineLvl w:val="1"/>
        <w:rPr>
          <w:rFonts w:ascii="Times New Roman" w:hAnsi="Times New Roman" w:cs="Times New Roman"/>
          <w:color w:val="000000"/>
          <w:sz w:val="30"/>
          <w:szCs w:val="32"/>
        </w:rPr>
      </w:pPr>
      <w:bookmarkStart w:id="72" w:name="_Toc77601323"/>
      <w:bookmarkStart w:id="73" w:name="_Toc74642351"/>
      <w:bookmarkStart w:id="74" w:name="_Toc77599091"/>
      <w:bookmarkStart w:id="75" w:name="_Toc77600815"/>
      <w:bookmarkStart w:id="76" w:name="_Toc77601141"/>
      <w:r>
        <w:rPr>
          <w:rFonts w:hint="eastAsia" w:ascii="Times New Roman" w:hAnsi="Times New Roman" w:cs="Times New Roman"/>
          <w:color w:val="000000"/>
          <w:sz w:val="30"/>
          <w:szCs w:val="32"/>
        </w:rPr>
        <w:t>（1）生态文化教育宣传薄弱</w:t>
      </w:r>
      <w:bookmarkEnd w:id="72"/>
      <w:bookmarkEnd w:id="73"/>
      <w:bookmarkEnd w:id="74"/>
      <w:bookmarkEnd w:id="75"/>
      <w:bookmarkEnd w:id="76"/>
      <w:r>
        <w:rPr>
          <w:rFonts w:hint="eastAsia" w:ascii="Times New Roman" w:hAnsi="Times New Roman" w:cs="Times New Roman"/>
          <w:color w:val="000000"/>
          <w:sz w:val="30"/>
          <w:szCs w:val="32"/>
        </w:rPr>
        <w:t xml:space="preserve"> </w:t>
      </w:r>
    </w:p>
    <w:p>
      <w:pPr>
        <w:adjustRightInd w:val="0"/>
        <w:ind w:firstLine="560"/>
        <w:textAlignment w:val="baseline"/>
        <w:rPr>
          <w:rFonts w:ascii="Times New Roman" w:hAnsi="Times New Roman" w:cs="ËÎÌå"/>
          <w:kern w:val="44"/>
          <w:szCs w:val="28"/>
        </w:rPr>
      </w:pPr>
      <w:r>
        <w:rPr>
          <w:rFonts w:hint="eastAsia" w:ascii="Times New Roman" w:hAnsi="Times New Roman" w:cs="ËÎÌå"/>
          <w:kern w:val="44"/>
          <w:szCs w:val="28"/>
        </w:rPr>
        <w:t xml:space="preserve">近年来抚远市社会经济发展迅速、人民生活水平不断提高，同时公众的价值观受到“利益最大化”的冲击，生态文化意识相对薄弱。教育宣传是提高公众生态文化意识的关键，但目前抚远市生态文化教育宣传仍有不足，生态文明建设的内涵和重大意义认识不清，企业的生态文化理念和环保意识不足，需要各部门加强生态文化教育宣传。 </w:t>
      </w:r>
    </w:p>
    <w:p>
      <w:pPr>
        <w:keepNext/>
        <w:keepLines/>
        <w:ind w:firstLine="600"/>
        <w:jc w:val="left"/>
        <w:outlineLvl w:val="1"/>
        <w:rPr>
          <w:rFonts w:ascii="Times New Roman" w:hAnsi="Times New Roman" w:cs="Times New Roman"/>
          <w:color w:val="000000"/>
          <w:sz w:val="30"/>
          <w:szCs w:val="32"/>
        </w:rPr>
      </w:pPr>
      <w:bookmarkStart w:id="77" w:name="_Toc73003373"/>
      <w:bookmarkStart w:id="78" w:name="_Toc74642352"/>
      <w:bookmarkStart w:id="79" w:name="_Toc77599092"/>
      <w:bookmarkStart w:id="80" w:name="_Toc77601142"/>
      <w:bookmarkStart w:id="81" w:name="_Toc77600816"/>
      <w:bookmarkStart w:id="82" w:name="_Toc77601324"/>
      <w:r>
        <w:rPr>
          <w:rFonts w:hint="eastAsia" w:ascii="Times New Roman" w:hAnsi="Times New Roman" w:cs="Times New Roman"/>
          <w:color w:val="000000"/>
          <w:sz w:val="30"/>
          <w:szCs w:val="32"/>
        </w:rPr>
        <w:t>（2）生态文化事业发展缓慢</w:t>
      </w:r>
      <w:bookmarkEnd w:id="77"/>
      <w:bookmarkEnd w:id="78"/>
      <w:bookmarkEnd w:id="79"/>
      <w:bookmarkEnd w:id="80"/>
      <w:bookmarkEnd w:id="81"/>
      <w:bookmarkEnd w:id="82"/>
    </w:p>
    <w:p>
      <w:pPr>
        <w:adjustRightInd w:val="0"/>
        <w:ind w:firstLine="560"/>
        <w:textAlignment w:val="baseline"/>
        <w:rPr>
          <w:rFonts w:ascii="Times New Roman" w:hAnsi="Times New Roman" w:cs="ËÎÌå"/>
          <w:kern w:val="44"/>
          <w:szCs w:val="28"/>
        </w:rPr>
      </w:pPr>
      <w:r>
        <w:rPr>
          <w:rFonts w:hint="eastAsia" w:ascii="Times New Roman" w:hAnsi="Times New Roman" w:cs="ËÎÌå"/>
          <w:kern w:val="44"/>
          <w:szCs w:val="28"/>
        </w:rPr>
        <w:t>生态文化扶贫是国家扶贫战略的重要组成部分，国家层面非常重视，但抚远市部门乡镇政府对建设公共文化服务体系繁荣农村文化积极性不高，重视成都不够。很少组织开展丰富的文化活动，往往是村民自发地组织秧歌队、广场舞队和演出队，当地政府很少给与支持，乡镇综合文化站未能发挥应有的作用。生态文化事业发展较为缓慢，急需政府大力支持。</w:t>
      </w:r>
    </w:p>
    <w:p>
      <w:pPr>
        <w:keepNext/>
        <w:keepLines/>
        <w:ind w:firstLine="600"/>
        <w:jc w:val="left"/>
        <w:outlineLvl w:val="1"/>
        <w:rPr>
          <w:rFonts w:ascii="Times New Roman" w:hAnsi="Times New Roman" w:cs="Times New Roman"/>
          <w:color w:val="000000"/>
          <w:sz w:val="30"/>
          <w:szCs w:val="32"/>
        </w:rPr>
      </w:pPr>
      <w:bookmarkStart w:id="83" w:name="_Toc74642353"/>
      <w:bookmarkStart w:id="84" w:name="_Toc73003374"/>
      <w:bookmarkStart w:id="85" w:name="_Toc77599093"/>
      <w:bookmarkStart w:id="86" w:name="_Toc77600817"/>
      <w:bookmarkStart w:id="87" w:name="_Toc77601143"/>
      <w:bookmarkStart w:id="88" w:name="_Toc77601325"/>
      <w:r>
        <w:rPr>
          <w:rFonts w:hint="eastAsia" w:ascii="Times New Roman" w:hAnsi="Times New Roman" w:cs="Times New Roman"/>
          <w:color w:val="000000"/>
          <w:sz w:val="30"/>
          <w:szCs w:val="32"/>
        </w:rPr>
        <w:t>（3）生态文化基础设施有待完善</w:t>
      </w:r>
      <w:bookmarkEnd w:id="83"/>
      <w:bookmarkEnd w:id="84"/>
      <w:bookmarkEnd w:id="85"/>
      <w:bookmarkEnd w:id="86"/>
      <w:bookmarkEnd w:id="87"/>
      <w:bookmarkEnd w:id="88"/>
      <w:bookmarkStart w:id="89" w:name="_Hlk69414174"/>
    </w:p>
    <w:p>
      <w:pPr>
        <w:adjustRightInd w:val="0"/>
        <w:ind w:firstLine="560"/>
        <w:textAlignment w:val="baseline"/>
        <w:rPr>
          <w:rFonts w:ascii="Times New Roman" w:hAnsi="Times New Roman" w:cs="ËÎÌå"/>
          <w:kern w:val="44"/>
          <w:szCs w:val="28"/>
        </w:rPr>
      </w:pPr>
      <w:r>
        <w:rPr>
          <w:rFonts w:hint="eastAsia" w:ascii="Times New Roman" w:hAnsi="Times New Roman" w:cs="ËÎÌå"/>
          <w:kern w:val="44"/>
          <w:szCs w:val="28"/>
        </w:rPr>
        <w:t>随着全民文化意识的提升，抚远市广大人民群众对生态文化的需求愈加强烈，以图书阅读为例，尽管有一定的藏书数量，但藏书数量远远不足，图书馆建设缺乏对不同年龄和阅读喜好的阅读人群的针对性。除此之外，群众艺术馆、图书馆馆舍面积、硬件设施、环境功能等还无法达到市级两馆国家标准，其他场馆设施几乎为零，这严重影响抚远市公共文化服务体系建设发展。尽管抚远市行政村全部建有文化广场和村文化活动中心普及率为80%，但很少能投入使用，仍有待加速建设。</w:t>
      </w:r>
    </w:p>
    <w:bookmarkEnd w:id="89"/>
    <w:p>
      <w:pPr>
        <w:keepNext/>
        <w:keepLines/>
        <w:ind w:firstLine="600"/>
        <w:jc w:val="left"/>
        <w:outlineLvl w:val="1"/>
        <w:rPr>
          <w:rFonts w:ascii="Times New Roman" w:hAnsi="Times New Roman" w:cs="Times New Roman"/>
          <w:color w:val="000000"/>
          <w:sz w:val="30"/>
          <w:szCs w:val="32"/>
        </w:rPr>
      </w:pPr>
      <w:bookmarkStart w:id="90" w:name="_Toc73003375"/>
      <w:bookmarkStart w:id="91" w:name="_Toc74642354"/>
      <w:bookmarkStart w:id="92" w:name="_Toc77599094"/>
      <w:bookmarkStart w:id="93" w:name="_Toc77600818"/>
      <w:bookmarkStart w:id="94" w:name="_Toc77601144"/>
      <w:bookmarkStart w:id="95" w:name="_Toc77601326"/>
      <w:r>
        <w:rPr>
          <w:rFonts w:hint="eastAsia" w:ascii="Times New Roman" w:hAnsi="Times New Roman" w:cs="Times New Roman"/>
          <w:color w:val="000000"/>
          <w:sz w:val="30"/>
          <w:szCs w:val="32"/>
        </w:rPr>
        <w:t>（4）局部生态环境问题仍然存在</w:t>
      </w:r>
      <w:bookmarkEnd w:id="90"/>
      <w:bookmarkEnd w:id="91"/>
      <w:bookmarkEnd w:id="92"/>
      <w:bookmarkEnd w:id="93"/>
      <w:bookmarkEnd w:id="94"/>
      <w:bookmarkEnd w:id="95"/>
    </w:p>
    <w:p>
      <w:pPr>
        <w:adjustRightInd w:val="0"/>
        <w:ind w:firstLine="560"/>
        <w:textAlignment w:val="baseline"/>
        <w:rPr>
          <w:rFonts w:ascii="Times New Roman" w:hAnsi="Times New Roman" w:cs="ËÎÌå"/>
          <w:kern w:val="0"/>
          <w:szCs w:val="28"/>
        </w:rPr>
      </w:pPr>
      <w:r>
        <w:rPr>
          <w:rFonts w:hint="eastAsia" w:ascii="Times New Roman" w:hAnsi="Times New Roman" w:cs="ËÎÌå"/>
          <w:kern w:val="0"/>
          <w:szCs w:val="28"/>
        </w:rPr>
        <w:t>抚远市局部生态环境问题仍然存在。局部区域生态环境受到破坏，生态恢复措施未能及时跟上；植被破坏、弃土弃渣得不到合理处置，存在水土流失现象。此外，机动车尾气污染、土地污染、水体污染等一系列城市环境问题仍然存在；废旧家用电器、报废汽车轮胎等回收和安全处置的任务十分繁重；农业面源污染、农村污水垃圾、畜禽养殖污染等环境问题急待解决。</w:t>
      </w:r>
    </w:p>
    <w:p>
      <w:pPr>
        <w:adjustRightInd w:val="0"/>
        <w:ind w:firstLine="560"/>
        <w:textAlignment w:val="baseline"/>
        <w:rPr>
          <w:rFonts w:ascii="Times New Roman" w:hAnsi="Times New Roman" w:cs="ËÎÌå"/>
          <w:kern w:val="0"/>
          <w:szCs w:val="28"/>
        </w:rPr>
      </w:pPr>
      <w:r>
        <w:rPr>
          <w:rFonts w:hint="eastAsia" w:ascii="Times New Roman" w:hAnsi="Times New Roman" w:cs="ËÎÌå"/>
          <w:kern w:val="0"/>
          <w:szCs w:val="28"/>
        </w:rPr>
        <w:t>另一方面，人民群众随着物质生活的丰富，对环境质量要求越来越高，而环境质量的改善不是一蹴而就的事。因此，人民群众改善环境的迫切性与环境治理的长期性矛盾比较明显，环境问题的诉求和纠纷比较突出，环保部门的压力越来越大。</w:t>
      </w:r>
    </w:p>
    <w:p>
      <w:pPr>
        <w:keepNext/>
        <w:keepLines/>
        <w:ind w:firstLine="600"/>
        <w:jc w:val="left"/>
        <w:outlineLvl w:val="1"/>
        <w:rPr>
          <w:rFonts w:ascii="Times New Roman" w:hAnsi="Times New Roman" w:cs="Times New Roman"/>
          <w:color w:val="000000"/>
          <w:sz w:val="30"/>
          <w:szCs w:val="32"/>
        </w:rPr>
      </w:pPr>
      <w:bookmarkStart w:id="96" w:name="_Toc73003376"/>
      <w:bookmarkStart w:id="97" w:name="_Toc74642355"/>
      <w:bookmarkStart w:id="98" w:name="_Toc77599095"/>
      <w:bookmarkStart w:id="99" w:name="_Toc77601145"/>
      <w:bookmarkStart w:id="100" w:name="_Toc77600819"/>
      <w:bookmarkStart w:id="101" w:name="_Toc77601327"/>
      <w:r>
        <w:rPr>
          <w:rFonts w:hint="eastAsia" w:ascii="Times New Roman" w:hAnsi="Times New Roman" w:cs="Times New Roman"/>
          <w:color w:val="000000"/>
          <w:sz w:val="30"/>
          <w:szCs w:val="32"/>
        </w:rPr>
        <w:t>（5）面临发展和保护双重挑战</w:t>
      </w:r>
      <w:bookmarkEnd w:id="96"/>
      <w:bookmarkEnd w:id="97"/>
      <w:bookmarkEnd w:id="98"/>
      <w:bookmarkEnd w:id="99"/>
      <w:bookmarkEnd w:id="100"/>
      <w:bookmarkEnd w:id="101"/>
      <w:bookmarkStart w:id="102" w:name="_Hlk69415197"/>
    </w:p>
    <w:bookmarkEnd w:id="102"/>
    <w:p>
      <w:pPr>
        <w:adjustRightInd w:val="0"/>
        <w:ind w:firstLine="560"/>
        <w:textAlignment w:val="baseline"/>
        <w:rPr>
          <w:rFonts w:ascii="Times New Roman" w:hAnsi="Times New Roman" w:cs="ËÎÌå"/>
          <w:kern w:val="0"/>
          <w:szCs w:val="28"/>
        </w:rPr>
      </w:pPr>
      <w:r>
        <w:rPr>
          <w:rFonts w:hint="eastAsia" w:ascii="Times New Roman" w:hAnsi="Times New Roman" w:cs="ËÎÌå"/>
          <w:kern w:val="0"/>
          <w:szCs w:val="28"/>
        </w:rPr>
        <w:t>抚远市地处中俄边境处，动植物资源丰富，具有重要的政治和生态意义。既要加快经济发展，又要保护生态环境资源，双重压力增大。从长远看，加快发展与环境保护是相统一的，但目前生态补偿机制尚不完善，生态保护中丧失的经济发展机会尚难以比较好地予以弥补，一定程度上造成了发展与保护之间的矛盾，也将使抚远市的发展与全省水平的差距进一步拉大。如何坚持科学发展观，在削减污染物排放总量、保持环境质量不下降的前提下，处理好保护与发展的关系，实现既“好”又“快”的发展。</w:t>
      </w:r>
    </w:p>
    <w:p>
      <w:pPr>
        <w:ind w:firstLine="596" w:firstLineChars="198"/>
        <w:outlineLvl w:val="3"/>
        <w:rPr>
          <w:b/>
          <w:sz w:val="30"/>
          <w:szCs w:val="30"/>
        </w:rPr>
      </w:pPr>
      <w:r>
        <w:rPr>
          <w:b/>
          <w:sz w:val="30"/>
          <w:szCs w:val="30"/>
        </w:rPr>
        <w:t>（二）面临的挑战</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尽管做了大量的环境保护工作，全市生态、环境质量总体保持良好水平，在省内乃至全国居领先地位。但是，随着经济总量的快速增长，人民群众要求的不断提高，当前的生态文明建设仍有一些短板和不足，必须切实采取有效措施，认真加以解决。主要表现如下：</w:t>
      </w:r>
    </w:p>
    <w:p>
      <w:pPr>
        <w:keepNext/>
        <w:keepLines/>
        <w:ind w:firstLine="600"/>
        <w:jc w:val="left"/>
        <w:outlineLvl w:val="1"/>
        <w:rPr>
          <w:rFonts w:ascii="Times New Roman" w:hAnsi="Times New Roman" w:cs="Times New Roman"/>
          <w:color w:val="000000"/>
          <w:sz w:val="30"/>
          <w:szCs w:val="32"/>
        </w:rPr>
      </w:pPr>
      <w:bookmarkStart w:id="103" w:name="_Toc77599096"/>
      <w:bookmarkStart w:id="104" w:name="_Toc74642363"/>
      <w:bookmarkStart w:id="105" w:name="_Toc77601328"/>
      <w:bookmarkStart w:id="106" w:name="_Toc77600820"/>
      <w:bookmarkStart w:id="107" w:name="_Toc77601146"/>
      <w:r>
        <w:rPr>
          <w:rFonts w:hint="eastAsia" w:ascii="Times New Roman" w:hAnsi="Times New Roman" w:cs="Times New Roman"/>
          <w:color w:val="000000"/>
          <w:sz w:val="30"/>
          <w:szCs w:val="32"/>
        </w:rPr>
        <w:t>（1）经济增长下行压力加大，环保支撑能力将受到影响</w:t>
      </w:r>
      <w:bookmarkEnd w:id="103"/>
      <w:bookmarkEnd w:id="104"/>
      <w:bookmarkEnd w:id="105"/>
      <w:bookmarkEnd w:id="106"/>
      <w:bookmarkEnd w:id="107"/>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环境保护面临着结构调整、环境质量改善、百姓诉求强烈等短板和挑战。环保技术、资金仍然不足，环境建设的资金需求与国家财政、地方财政实际投入差距的矛盾在短期内难以完全解决。同时经济转型升级压力增大，抚远市一些部门环境保护与经济发展的局部矛盾可能进一步显现，污染治理更加艰巨。农村治污设施薄弱，垃圾污染、化肥和农药污染仍较严重，秸秆综合利用缺乏渠道。人民群众关注的环境热点、难点、焦点问题难以在短时间内得到全面解决。</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社会公众对环境质量的认知和要求提高，污染防范意识越来越强，对环境污染容忍度越来越低，对维系自身健康的环境公共产品的需求越来越高，如何做好生态环境可持续、经济技术可承受、人民群众可接受这三方面的平衡将是新的挑战。经济发展与生态保护之间的矛盾依然存在，传统发展方式带来的资源环境约束日益趋紧，生态环境风险逐步凸显；人民群众对优质生态产品需求不断增加与现有供给能力不足之间的矛盾也日益明显。</w:t>
      </w:r>
    </w:p>
    <w:p>
      <w:pPr>
        <w:keepNext/>
        <w:keepLines/>
        <w:ind w:firstLine="600"/>
        <w:jc w:val="left"/>
        <w:outlineLvl w:val="1"/>
        <w:rPr>
          <w:rFonts w:ascii="Times New Roman" w:hAnsi="Times New Roman" w:cs="Times New Roman"/>
          <w:color w:val="000000"/>
          <w:sz w:val="30"/>
          <w:szCs w:val="32"/>
        </w:rPr>
      </w:pPr>
      <w:bookmarkStart w:id="108" w:name="_Toc77601329"/>
      <w:bookmarkStart w:id="109" w:name="_Toc77601147"/>
      <w:bookmarkStart w:id="110" w:name="_Toc77600821"/>
      <w:bookmarkStart w:id="111" w:name="_Toc74642364"/>
      <w:bookmarkStart w:id="112" w:name="_Toc77599097"/>
      <w:r>
        <w:rPr>
          <w:rFonts w:hint="eastAsia" w:ascii="Times New Roman" w:hAnsi="Times New Roman" w:cs="Times New Roman"/>
          <w:color w:val="000000"/>
          <w:sz w:val="30"/>
          <w:szCs w:val="32"/>
        </w:rPr>
        <w:t>（2）基础设施建设与群众期盼仍有差距</w:t>
      </w:r>
      <w:bookmarkEnd w:id="108"/>
      <w:bookmarkEnd w:id="109"/>
      <w:bookmarkEnd w:id="110"/>
      <w:bookmarkEnd w:id="111"/>
      <w:bookmarkEnd w:id="112"/>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抚远市在加强教育基础设施建设方面存在不足，需要深化教育内涵工程，全面提升师德师风和教育教学水平。大力发展学前教育、基础教育和职业教育等；“健康抚远”建设速度缓慢，需要加强医疗卫生人才队伍和重点专科医院建设，不断提升整体医疗技术水平。关注居民健康，切实加强社区居民健康监测、管理和服务；“文化抚远”建设薄弱，需要构建现代公共文化服务体系，加强“两馆”建设，依托抚远丰富的文化底蕴以及地方文化特色，全力做好非遗文化的传承与保护工作</w:t>
      </w:r>
      <w:r>
        <w:rPr>
          <w:rFonts w:ascii="Times New Roman" w:hAnsi="Times New Roman" w:cs="Times New Roman"/>
          <w:kern w:val="0"/>
          <w:szCs w:val="28"/>
        </w:rPr>
        <w:t>。</w:t>
      </w:r>
    </w:p>
    <w:p>
      <w:pPr>
        <w:keepNext/>
        <w:keepLines/>
        <w:ind w:firstLine="600"/>
        <w:jc w:val="left"/>
        <w:outlineLvl w:val="1"/>
        <w:rPr>
          <w:rFonts w:ascii="Times New Roman" w:hAnsi="Times New Roman" w:cs="Times New Roman"/>
          <w:color w:val="000000"/>
          <w:sz w:val="30"/>
          <w:szCs w:val="32"/>
        </w:rPr>
      </w:pPr>
      <w:bookmarkStart w:id="113" w:name="_Toc74642365"/>
      <w:bookmarkStart w:id="114" w:name="_Toc77599098"/>
      <w:bookmarkStart w:id="115" w:name="_Toc77601148"/>
      <w:bookmarkStart w:id="116" w:name="_Toc77601330"/>
      <w:bookmarkStart w:id="117" w:name="_Toc77600822"/>
      <w:r>
        <w:rPr>
          <w:rFonts w:hint="eastAsia" w:ascii="Times New Roman" w:hAnsi="Times New Roman" w:cs="Times New Roman"/>
          <w:color w:val="000000"/>
          <w:sz w:val="30"/>
          <w:szCs w:val="32"/>
        </w:rPr>
        <w:t>（3）生态文明制度体系有待完善</w:t>
      </w:r>
      <w:bookmarkEnd w:id="113"/>
      <w:bookmarkEnd w:id="114"/>
      <w:bookmarkEnd w:id="115"/>
      <w:bookmarkEnd w:id="116"/>
      <w:bookmarkEnd w:id="117"/>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抚远市生态文明制度体系有待进一步健全完善，生态补偿机制构建有待深入探索，损害赔偿与责任追究等相关制度仍需完善；农业面源监管薄弱，管理手段落后，农村污染防治技术指导不足，经费严重短缺，人员素质难以胜任当前工作要求；现有环境监测、监察、综合执法、辐射环境安全管理能力仍显薄弱，信息化水平不高，尚未达到标准化建设要求，难以适应经济社会发展的需要，环保能力建设亟待加强。</w:t>
      </w:r>
    </w:p>
    <w:p>
      <w:pPr>
        <w:keepNext/>
        <w:keepLines/>
        <w:ind w:firstLine="600"/>
        <w:jc w:val="left"/>
        <w:outlineLvl w:val="1"/>
        <w:rPr>
          <w:rFonts w:ascii="Times New Roman" w:hAnsi="Times New Roman" w:cs="Times New Roman"/>
          <w:color w:val="000000"/>
          <w:sz w:val="30"/>
          <w:szCs w:val="32"/>
        </w:rPr>
      </w:pPr>
      <w:bookmarkStart w:id="118" w:name="_Toc74642366"/>
      <w:bookmarkStart w:id="119" w:name="_Toc77599099"/>
      <w:bookmarkStart w:id="120" w:name="_Toc77600823"/>
      <w:bookmarkStart w:id="121" w:name="_Toc77601149"/>
      <w:bookmarkStart w:id="122" w:name="_Toc77601331"/>
      <w:r>
        <w:rPr>
          <w:rFonts w:hint="eastAsia" w:ascii="Times New Roman" w:hAnsi="Times New Roman" w:cs="Times New Roman"/>
          <w:color w:val="000000"/>
          <w:sz w:val="30"/>
          <w:szCs w:val="32"/>
        </w:rPr>
        <w:t>（4）其他环境问题有待破解</w:t>
      </w:r>
      <w:bookmarkEnd w:id="118"/>
      <w:bookmarkEnd w:id="119"/>
      <w:bookmarkEnd w:id="120"/>
      <w:bookmarkEnd w:id="121"/>
      <w:bookmarkEnd w:id="122"/>
    </w:p>
    <w:p>
      <w:pPr>
        <w:ind w:firstLine="560"/>
        <w:rPr>
          <w:rFonts w:ascii="Times New Roman" w:hAnsi="Times New Roman"/>
          <w:szCs w:val="28"/>
        </w:rPr>
      </w:pPr>
      <w:r>
        <w:rPr>
          <w:rFonts w:hint="eastAsia" w:ascii="Times New Roman" w:hAnsi="Times New Roman"/>
          <w:szCs w:val="28"/>
        </w:rPr>
        <w:t>抚远市生态环境监管人员缺少，各项监管基础设施落后，缺少专业监测机构，监管能力薄弱。面临发展和保护双重挑战。抚远市地处中俄边境处，动植物资源丰富，具有重要的政治和生态意义。既要加快经济发展，又要保护生态环境资源，双重压力增大。从长远看，加快发展与环境保护是相统一的，但目前生态补偿机制尚不完善，生态保护中丧失的经济发展机会尚难以比较好地予以弥补，一定程度上造成了发展与保护之间的矛盾，也将使抚远市的发展与全省水平的差距进一步拉大。如何在削减污染物排放总量、保持环境质量不下降的前提下，处理好保护与发展的关系，实现既“好”又“快”的发展，成为当下必须解决的问题。</w:t>
      </w:r>
    </w:p>
    <w:p>
      <w:pPr>
        <w:ind w:firstLine="560"/>
        <w:rPr>
          <w:rFonts w:ascii="Times New Roman" w:hAnsi="Times New Roman"/>
          <w:szCs w:val="28"/>
        </w:rPr>
      </w:pPr>
      <w:r>
        <w:rPr>
          <w:rFonts w:hint="eastAsia" w:ascii="Times New Roman" w:hAnsi="Times New Roman"/>
          <w:szCs w:val="28"/>
        </w:rPr>
        <w:t>此外，抚远市还存在局部生态环境问题。局部区域生态破坏，生态恢复措施未能及时跟上；植被破坏、弃土弃渣得不到合理处置，存在水土流失现象。此外还存在机动车尾气污染、土地污染、水体污染等一系列城市环境问题；废旧家用电器、报废汽车轮胎等回收和安全处置问题；农业面源污染、农村污水垃圾、畜禽养殖污染等环境问题。</w:t>
      </w:r>
    </w:p>
    <w:p>
      <w:pPr>
        <w:ind w:firstLine="560"/>
        <w:rPr>
          <w:rFonts w:ascii="Times New Roman" w:hAnsi="Times New Roman"/>
          <w:szCs w:val="28"/>
        </w:rPr>
      </w:pPr>
      <w:r>
        <w:rPr>
          <w:rFonts w:hint="eastAsia" w:ascii="Times New Roman" w:hAnsi="Times New Roman"/>
          <w:szCs w:val="28"/>
        </w:rPr>
        <w:t>另一方面，人民群众随着物质生活的丰富，对环境质量要求越来越高，而环境质量的改善不是一蹴而就的事。因此，人民群众改善环境的迫切性与环境治理的长期性矛盾日益突出，环境问题的诉求和纠纷呈明显上升的趋势，环保部门的压力越来越大。</w:t>
      </w:r>
    </w:p>
    <w:bookmarkEnd w:id="65"/>
    <w:p>
      <w:pPr>
        <w:pStyle w:val="5"/>
      </w:pPr>
      <w:bookmarkStart w:id="123" w:name="_Toc18030"/>
      <w:bookmarkStart w:id="124" w:name="_Toc1930076786_WPSOffice_Level2"/>
      <w:bookmarkStart w:id="125" w:name="_Toc77601150"/>
      <w:bookmarkStart w:id="126" w:name="_Toc77601332"/>
      <w:bookmarkStart w:id="127" w:name="_Toc77349625"/>
      <w:bookmarkStart w:id="128" w:name="_Toc961466056_WPSOffice_Level2"/>
      <w:bookmarkStart w:id="129" w:name="_Toc74642345"/>
      <w:r>
        <w:t>二、优势与机遇</w:t>
      </w:r>
      <w:bookmarkEnd w:id="123"/>
      <w:bookmarkEnd w:id="124"/>
      <w:bookmarkEnd w:id="125"/>
      <w:bookmarkEnd w:id="126"/>
      <w:bookmarkEnd w:id="127"/>
      <w:bookmarkEnd w:id="128"/>
    </w:p>
    <w:p>
      <w:pPr>
        <w:keepNext/>
        <w:keepLines/>
        <w:ind w:firstLine="602"/>
        <w:jc w:val="left"/>
        <w:outlineLvl w:val="1"/>
        <w:rPr>
          <w:b/>
          <w:sz w:val="30"/>
          <w:szCs w:val="30"/>
        </w:rPr>
      </w:pPr>
      <w:bookmarkStart w:id="130" w:name="_Toc30963"/>
      <w:bookmarkStart w:id="131" w:name="_Toc581062961_WPSOffice_Level3"/>
      <w:bookmarkStart w:id="132" w:name="_Toc1118181822_WPSOffice_Level3"/>
      <w:bookmarkStart w:id="133" w:name="_Toc77601333"/>
      <w:bookmarkStart w:id="134" w:name="_Toc77599100"/>
      <w:bookmarkStart w:id="135" w:name="_Toc77601151"/>
      <w:bookmarkStart w:id="136" w:name="_Toc77600824"/>
      <w:r>
        <w:rPr>
          <w:b/>
          <w:sz w:val="30"/>
          <w:szCs w:val="30"/>
        </w:rPr>
        <w:t>（一）</w:t>
      </w:r>
      <w:bookmarkEnd w:id="130"/>
      <w:bookmarkEnd w:id="131"/>
      <w:bookmarkEnd w:id="132"/>
      <w:r>
        <w:rPr>
          <w:b/>
          <w:sz w:val="30"/>
          <w:szCs w:val="30"/>
        </w:rPr>
        <w:t>基础优势</w:t>
      </w:r>
      <w:bookmarkEnd w:id="133"/>
      <w:bookmarkEnd w:id="134"/>
      <w:bookmarkEnd w:id="135"/>
      <w:bookmarkEnd w:id="136"/>
    </w:p>
    <w:p>
      <w:pPr>
        <w:keepNext/>
        <w:keepLines/>
        <w:ind w:firstLine="600"/>
        <w:jc w:val="left"/>
        <w:outlineLvl w:val="1"/>
        <w:rPr>
          <w:rFonts w:ascii="Times New Roman" w:hAnsi="Times New Roman" w:cs="Times New Roman"/>
          <w:color w:val="000000"/>
          <w:kern w:val="0"/>
          <w:sz w:val="30"/>
          <w:szCs w:val="32"/>
        </w:rPr>
      </w:pPr>
      <w:bookmarkStart w:id="137" w:name="_Toc77600825"/>
      <w:bookmarkStart w:id="138" w:name="_Toc77599101"/>
      <w:bookmarkStart w:id="139" w:name="_Toc77601152"/>
      <w:bookmarkStart w:id="140" w:name="_Toc77601334"/>
      <w:r>
        <w:rPr>
          <w:rFonts w:hint="eastAsia" w:ascii="Times New Roman" w:hAnsi="Times New Roman" w:cs="Times New Roman"/>
          <w:color w:val="000000"/>
          <w:sz w:val="30"/>
          <w:szCs w:val="32"/>
        </w:rPr>
        <w:t>（1）地理区位</w:t>
      </w:r>
      <w:r>
        <w:rPr>
          <w:rFonts w:ascii="Times New Roman" w:hAnsi="Times New Roman" w:cs="Times New Roman"/>
          <w:color w:val="000000"/>
          <w:sz w:val="30"/>
          <w:szCs w:val="32"/>
        </w:rPr>
        <w:t>优越</w:t>
      </w:r>
      <w:bookmarkEnd w:id="129"/>
      <w:bookmarkEnd w:id="137"/>
      <w:bookmarkEnd w:id="138"/>
      <w:bookmarkEnd w:id="139"/>
      <w:bookmarkEnd w:id="140"/>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抚远拥有独特的区位优势，边境线全长</w:t>
      </w:r>
      <w:r>
        <w:rPr>
          <w:rFonts w:ascii="Times New Roman" w:hAnsi="Times New Roman" w:cs="Times New Roman"/>
          <w:kern w:val="0"/>
          <w:szCs w:val="28"/>
        </w:rPr>
        <w:t>212公里，是国家一类客货口岸。抚远港是黑龙江江海联运的始发港，距离出海口仅960公里。到达美国、加拿大分别比天津、上海等港口要近800-1000海里，相对于上海港做比较，抚远到札幌2000公里，比上海近300公里。抚远到达温哥华、旧金山要比上海近1400</w:t>
      </w:r>
      <w:r>
        <w:rPr>
          <w:rFonts w:hint="eastAsia" w:ascii="Times New Roman" w:hAnsi="Times New Roman" w:cs="Times New Roman"/>
          <w:kern w:val="0"/>
          <w:szCs w:val="28"/>
        </w:rPr>
        <w:t>-</w:t>
      </w:r>
      <w:r>
        <w:rPr>
          <w:rFonts w:ascii="Times New Roman" w:hAnsi="Times New Roman" w:cs="Times New Roman"/>
          <w:kern w:val="0"/>
          <w:szCs w:val="28"/>
        </w:rPr>
        <w:t>1700公里左右。</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同时，抚远是全国极少同时拥有机场、铁路、高速、深水港四位交通一体、大交通格局的市级市，距离俄罗斯哈巴罗夫斯克市航道距离仅有</w:t>
      </w:r>
      <w:r>
        <w:rPr>
          <w:rFonts w:ascii="Times New Roman" w:hAnsi="Times New Roman" w:cs="Times New Roman"/>
          <w:kern w:val="0"/>
          <w:szCs w:val="28"/>
        </w:rPr>
        <w:t>65公里。未来，黑瞎子岛将开通陆路口岸，到达哈巴罗夫斯克市区只需30公里</w:t>
      </w:r>
      <w:r>
        <w:rPr>
          <w:rFonts w:hint="eastAsia" w:ascii="Times New Roman" w:hAnsi="Times New Roman" w:cs="Times New Roman"/>
          <w:kern w:val="0"/>
          <w:szCs w:val="28"/>
        </w:rPr>
        <w:t>。</w:t>
      </w:r>
    </w:p>
    <w:p>
      <w:pPr>
        <w:keepNext/>
        <w:keepLines/>
        <w:ind w:firstLine="600"/>
        <w:jc w:val="left"/>
        <w:outlineLvl w:val="1"/>
        <w:rPr>
          <w:rFonts w:ascii="Times New Roman" w:hAnsi="Times New Roman" w:cs="Times New Roman"/>
          <w:color w:val="000000"/>
          <w:sz w:val="30"/>
          <w:szCs w:val="32"/>
        </w:rPr>
      </w:pPr>
      <w:bookmarkStart w:id="141" w:name="_Toc77599102"/>
      <w:bookmarkStart w:id="142" w:name="_Toc74642346"/>
      <w:bookmarkStart w:id="143" w:name="_Toc77600826"/>
      <w:bookmarkStart w:id="144" w:name="_Toc77601335"/>
      <w:bookmarkStart w:id="145" w:name="_Toc77601153"/>
      <w:r>
        <w:rPr>
          <w:rFonts w:hint="eastAsia" w:ascii="Times New Roman" w:hAnsi="Times New Roman" w:cs="Times New Roman"/>
          <w:color w:val="000000"/>
          <w:sz w:val="30"/>
          <w:szCs w:val="32"/>
        </w:rPr>
        <w:t>（2）经济发展良好</w:t>
      </w:r>
      <w:bookmarkEnd w:id="141"/>
      <w:bookmarkEnd w:id="142"/>
      <w:bookmarkEnd w:id="143"/>
      <w:bookmarkEnd w:id="144"/>
      <w:bookmarkEnd w:id="145"/>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抚远市紧紧围绕建设“一岛三区”、发展“五大产业”奋斗目标，凝心聚力、攻坚克难，经济社会实现了健康稳步发展。坚持以加快发展为主线，以打造绿色、开放、繁荣、文明、和谐的边境口岸名城为目标，凝心聚力，真抓实干，不断推进改革开放和五大产业建设，市域经济实现稳步增长。</w:t>
      </w:r>
      <w:r>
        <w:rPr>
          <w:rFonts w:ascii="Times New Roman" w:hAnsi="Times New Roman" w:cs="Times New Roman"/>
          <w:kern w:val="0"/>
          <w:szCs w:val="28"/>
        </w:rPr>
        <w:t>2019年，抚远经济稳步提升，经初步核算，全市实现地区生产总值（GDP）75.8亿元，按可比价计算，比上年增长3.0%。</w:t>
      </w:r>
      <w:r>
        <w:rPr>
          <w:rFonts w:hint="eastAsia" w:ascii="Times New Roman" w:hAnsi="Times New Roman" w:cs="Times New Roman"/>
          <w:kern w:val="0"/>
          <w:szCs w:val="28"/>
        </w:rPr>
        <w:t>其中：第一产业实现增加值</w:t>
      </w:r>
      <w:r>
        <w:rPr>
          <w:rFonts w:ascii="Times New Roman" w:hAnsi="Times New Roman" w:cs="Times New Roman"/>
          <w:kern w:val="0"/>
          <w:szCs w:val="28"/>
        </w:rPr>
        <w:t>55.7亿元，同比增长1.4%；第二产业实现增加值1.03亿元，同比增长11.7%，第三产业实现增加值19.1亿元，同比增长7.6%</w:t>
      </w:r>
      <w:r>
        <w:rPr>
          <w:rFonts w:hint="eastAsia" w:ascii="Times New Roman" w:hAnsi="Times New Roman" w:cs="Times New Roman"/>
          <w:kern w:val="0"/>
          <w:szCs w:val="28"/>
        </w:rPr>
        <w:t>。</w:t>
      </w:r>
    </w:p>
    <w:p>
      <w:pPr>
        <w:keepNext/>
        <w:keepLines/>
        <w:ind w:firstLine="600"/>
        <w:jc w:val="left"/>
        <w:outlineLvl w:val="1"/>
        <w:rPr>
          <w:rFonts w:ascii="Times New Roman" w:hAnsi="Times New Roman" w:cs="Times New Roman"/>
          <w:color w:val="000000"/>
          <w:sz w:val="30"/>
          <w:szCs w:val="32"/>
        </w:rPr>
      </w:pPr>
      <w:bookmarkStart w:id="146" w:name="_Toc74642347"/>
      <w:bookmarkStart w:id="147" w:name="_Toc77600827"/>
      <w:bookmarkStart w:id="148" w:name="_Toc77601336"/>
      <w:bookmarkStart w:id="149" w:name="_Toc77599103"/>
      <w:bookmarkStart w:id="150" w:name="_Toc77601154"/>
      <w:r>
        <w:rPr>
          <w:rFonts w:hint="eastAsia" w:ascii="Times New Roman" w:hAnsi="Times New Roman" w:cs="Times New Roman"/>
          <w:color w:val="000000"/>
          <w:sz w:val="30"/>
          <w:szCs w:val="32"/>
        </w:rPr>
        <w:t>（3）物产丰饶，资源富集，生态环境良好</w:t>
      </w:r>
      <w:bookmarkEnd w:id="146"/>
      <w:bookmarkEnd w:id="147"/>
      <w:bookmarkEnd w:id="148"/>
      <w:bookmarkEnd w:id="149"/>
      <w:bookmarkEnd w:id="150"/>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抚远生态资源保存完好，是世界上仅存的三大黑土带之一，土质肥沃，人均耕地面积达到</w:t>
      </w:r>
      <w:r>
        <w:rPr>
          <w:rFonts w:ascii="Times New Roman" w:hAnsi="Times New Roman" w:cs="Times New Roman"/>
          <w:kern w:val="0"/>
          <w:szCs w:val="28"/>
        </w:rPr>
        <w:t>50亩。抚远以盛产鲟鱼、鳇鱼、大马哈鱼、“三花五罗”等名优特鱼而闻名遐迩，是</w:t>
      </w:r>
      <w:r>
        <w:rPr>
          <w:rFonts w:hint="eastAsia" w:ascii="Times New Roman" w:hAnsi="Times New Roman" w:cs="Times New Roman"/>
          <w:kern w:val="0"/>
          <w:szCs w:val="28"/>
        </w:rPr>
        <w:t>“</w:t>
      </w:r>
      <w:r>
        <w:rPr>
          <w:rFonts w:ascii="Times New Roman" w:hAnsi="Times New Roman" w:cs="Times New Roman"/>
          <w:kern w:val="0"/>
          <w:szCs w:val="28"/>
        </w:rPr>
        <w:t>中国鲟鳇鱼之乡</w:t>
      </w:r>
      <w:r>
        <w:rPr>
          <w:rFonts w:hint="eastAsia" w:ascii="Times New Roman" w:hAnsi="Times New Roman" w:cs="Times New Roman"/>
          <w:kern w:val="0"/>
          <w:szCs w:val="28"/>
        </w:rPr>
        <w:t>”</w:t>
      </w:r>
      <w:r>
        <w:rPr>
          <w:rFonts w:ascii="Times New Roman" w:hAnsi="Times New Roman" w:cs="Times New Roman"/>
          <w:kern w:val="0"/>
          <w:szCs w:val="28"/>
        </w:rPr>
        <w:t>、</w:t>
      </w:r>
      <w:r>
        <w:rPr>
          <w:rFonts w:hint="eastAsia" w:ascii="Times New Roman" w:hAnsi="Times New Roman" w:cs="Times New Roman"/>
          <w:kern w:val="0"/>
          <w:szCs w:val="28"/>
        </w:rPr>
        <w:t>“</w:t>
      </w:r>
      <w:r>
        <w:rPr>
          <w:rFonts w:ascii="Times New Roman" w:hAnsi="Times New Roman" w:cs="Times New Roman"/>
          <w:kern w:val="0"/>
          <w:szCs w:val="28"/>
        </w:rPr>
        <w:t>中国大马哈鱼之乡</w:t>
      </w:r>
      <w:r>
        <w:rPr>
          <w:rFonts w:hint="eastAsia" w:ascii="Times New Roman" w:hAnsi="Times New Roman" w:cs="Times New Roman"/>
          <w:kern w:val="0"/>
          <w:szCs w:val="28"/>
        </w:rPr>
        <w:t>”</w:t>
      </w:r>
      <w:r>
        <w:rPr>
          <w:rFonts w:ascii="Times New Roman" w:hAnsi="Times New Roman" w:cs="Times New Roman"/>
          <w:kern w:val="0"/>
          <w:szCs w:val="28"/>
        </w:rPr>
        <w:t>，品种有21科105种。抚远是国家级生态示范区，生态环境优美，绿色覆盖面积在70%以上。中国最大湿地</w:t>
      </w:r>
      <w:r>
        <w:rPr>
          <w:rFonts w:hint="eastAsia" w:ascii="Times New Roman" w:hAnsi="Times New Roman" w:cs="Times New Roman"/>
          <w:kern w:val="0"/>
          <w:szCs w:val="28"/>
        </w:rPr>
        <w:t>—</w:t>
      </w:r>
      <w:r>
        <w:rPr>
          <w:rFonts w:ascii="Times New Roman" w:hAnsi="Times New Roman" w:cs="Times New Roman"/>
          <w:kern w:val="0"/>
          <w:szCs w:val="28"/>
        </w:rPr>
        <w:t>三江湿地，位于抚远市境内，湿地面积300万公顷，已被列入国际重要湿地名录。旅游资源丰富，</w:t>
      </w:r>
      <w:r>
        <w:rPr>
          <w:rFonts w:hint="eastAsia" w:ascii="Times New Roman" w:hAnsi="Times New Roman" w:cs="Times New Roman"/>
          <w:kern w:val="0"/>
          <w:szCs w:val="28"/>
        </w:rPr>
        <w:t>“</w:t>
      </w:r>
      <w:r>
        <w:rPr>
          <w:rFonts w:ascii="Times New Roman" w:hAnsi="Times New Roman" w:cs="Times New Roman"/>
          <w:kern w:val="0"/>
          <w:szCs w:val="28"/>
        </w:rPr>
        <w:t>华夏东极</w:t>
      </w:r>
      <w:r>
        <w:rPr>
          <w:rFonts w:hint="eastAsia" w:ascii="Times New Roman" w:hAnsi="Times New Roman" w:cs="Times New Roman"/>
          <w:kern w:val="0"/>
          <w:szCs w:val="28"/>
        </w:rPr>
        <w:t>”</w:t>
      </w:r>
      <w:r>
        <w:rPr>
          <w:rFonts w:ascii="Times New Roman" w:hAnsi="Times New Roman" w:cs="Times New Roman"/>
          <w:kern w:val="0"/>
          <w:szCs w:val="28"/>
        </w:rPr>
        <w:t>、</w:t>
      </w:r>
      <w:r>
        <w:rPr>
          <w:rFonts w:hint="eastAsia" w:ascii="Times New Roman" w:hAnsi="Times New Roman" w:cs="Times New Roman"/>
          <w:kern w:val="0"/>
          <w:szCs w:val="28"/>
        </w:rPr>
        <w:t>“</w:t>
      </w:r>
      <w:r>
        <w:rPr>
          <w:rFonts w:ascii="Times New Roman" w:hAnsi="Times New Roman" w:cs="Times New Roman"/>
          <w:kern w:val="0"/>
          <w:szCs w:val="28"/>
        </w:rPr>
        <w:t>淡水鱼都</w:t>
      </w:r>
      <w:r>
        <w:rPr>
          <w:rFonts w:hint="eastAsia" w:ascii="Times New Roman" w:hAnsi="Times New Roman" w:cs="Times New Roman"/>
          <w:kern w:val="0"/>
          <w:szCs w:val="28"/>
        </w:rPr>
        <w:t>”</w:t>
      </w:r>
      <w:r>
        <w:rPr>
          <w:rFonts w:ascii="Times New Roman" w:hAnsi="Times New Roman" w:cs="Times New Roman"/>
          <w:kern w:val="0"/>
          <w:szCs w:val="28"/>
        </w:rPr>
        <w:t>、黑瞎子岛、三江湿地、界江风光等旅游名片享誉海内外</w:t>
      </w:r>
      <w:r>
        <w:rPr>
          <w:rFonts w:hint="eastAsia" w:ascii="Times New Roman" w:hAnsi="Times New Roman" w:cs="Times New Roman"/>
          <w:kern w:val="0"/>
          <w:szCs w:val="28"/>
        </w:rPr>
        <w:t>。</w:t>
      </w:r>
    </w:p>
    <w:p>
      <w:pPr>
        <w:keepNext/>
        <w:keepLines/>
        <w:ind w:firstLine="600"/>
        <w:jc w:val="left"/>
        <w:outlineLvl w:val="1"/>
        <w:rPr>
          <w:rFonts w:ascii="Times New Roman" w:hAnsi="Times New Roman" w:cs="Times New Roman"/>
          <w:color w:val="000000"/>
          <w:sz w:val="30"/>
          <w:szCs w:val="32"/>
        </w:rPr>
      </w:pPr>
      <w:bookmarkStart w:id="151" w:name="_Toc77599104"/>
      <w:bookmarkStart w:id="152" w:name="_Toc74642348"/>
      <w:bookmarkStart w:id="153" w:name="_Toc77601155"/>
      <w:bookmarkStart w:id="154" w:name="_Toc77600828"/>
      <w:bookmarkStart w:id="155" w:name="_Toc77601337"/>
      <w:r>
        <w:rPr>
          <w:rFonts w:hint="eastAsia" w:ascii="Times New Roman" w:hAnsi="Times New Roman" w:cs="Times New Roman"/>
          <w:color w:val="000000"/>
          <w:sz w:val="30"/>
          <w:szCs w:val="32"/>
        </w:rPr>
        <w:t>（4）社会事业呈平稳发展</w:t>
      </w:r>
      <w:bookmarkEnd w:id="151"/>
      <w:bookmarkEnd w:id="152"/>
      <w:bookmarkEnd w:id="153"/>
      <w:bookmarkEnd w:id="154"/>
      <w:bookmarkEnd w:id="155"/>
    </w:p>
    <w:p>
      <w:pPr>
        <w:autoSpaceDE w:val="0"/>
        <w:autoSpaceDN w:val="0"/>
        <w:adjustRightInd w:val="0"/>
        <w:ind w:firstLine="560"/>
        <w:jc w:val="left"/>
        <w:rPr>
          <w:rFonts w:ascii="Times New Roman" w:hAnsi="Times New Roman" w:cs="Times New Roman"/>
          <w:kern w:val="0"/>
          <w:szCs w:val="28"/>
        </w:rPr>
      </w:pPr>
      <w:r>
        <w:rPr>
          <w:rFonts w:hint="eastAsia" w:ascii="Times New Roman" w:hAnsi="Times New Roman" w:cs="Times New Roman"/>
          <w:kern w:val="0"/>
          <w:szCs w:val="28"/>
        </w:rPr>
        <w:t>义务教育不断巩固。幼儿园、中小学建设力度加大，教师国省级培训实施推进。卫生事业稳步发展。各级医疗机构建设大力推进，公立医院改革完成阶段性目标，基本药物制度实现全覆盖。文化活动日益丰富。“中华赫哲族乌日贡大会”、“中国·抚远首届东极国际文化节”等特色文化活动积极开展，中俄文化交流活动不断增加。城乡就业稳步增加。城乡居民医疗保障力度不断加大，“基本医保+大病保险+医疗救助”医疗保障体系不断完善。为民办实事顺利推进。老年人活动中心投入使用，城市棚户区改造步伐加快，综合福利院一期工程开工建设，暖屋子工程推进实施。社会保持安定有序。城镇安全和防灾能力明显增强，人民生活质量显著提高。安全生产“四大”活动取得良好成效，粮食安全行政首长负责制、食品安全等各项制度、举措得到有效落实，安全生产形势持续稳定向好。</w:t>
      </w:r>
    </w:p>
    <w:p>
      <w:pPr>
        <w:keepNext/>
        <w:keepLines/>
        <w:ind w:firstLine="600"/>
        <w:jc w:val="left"/>
        <w:outlineLvl w:val="1"/>
        <w:rPr>
          <w:rFonts w:ascii="Times New Roman" w:hAnsi="Times New Roman" w:cs="Times New Roman"/>
          <w:color w:val="000000"/>
          <w:sz w:val="30"/>
          <w:szCs w:val="32"/>
        </w:rPr>
      </w:pPr>
      <w:bookmarkStart w:id="156" w:name="_Toc77600829"/>
      <w:bookmarkStart w:id="157" w:name="_Toc77601156"/>
      <w:bookmarkStart w:id="158" w:name="_Toc74642349"/>
      <w:bookmarkStart w:id="159" w:name="_Toc77599105"/>
      <w:bookmarkStart w:id="160" w:name="_Toc77601338"/>
      <w:r>
        <w:rPr>
          <w:rFonts w:hint="eastAsia" w:ascii="Times New Roman" w:hAnsi="Times New Roman" w:cs="Times New Roman"/>
          <w:color w:val="000000"/>
          <w:sz w:val="30"/>
          <w:szCs w:val="32"/>
        </w:rPr>
        <w:t>（5）基础建设扎实</w:t>
      </w:r>
      <w:bookmarkEnd w:id="156"/>
      <w:bookmarkEnd w:id="157"/>
      <w:bookmarkEnd w:id="158"/>
      <w:bookmarkEnd w:id="159"/>
      <w:bookmarkEnd w:id="160"/>
    </w:p>
    <w:p>
      <w:pPr>
        <w:adjustRightInd w:val="0"/>
        <w:ind w:firstLine="560"/>
        <w:textAlignment w:val="baseline"/>
        <w:rPr>
          <w:rFonts w:ascii="Times New Roman" w:hAnsi="Times New Roman" w:cs="Times New Roman"/>
          <w:kern w:val="0"/>
          <w:szCs w:val="28"/>
        </w:rPr>
      </w:pPr>
      <w:r>
        <w:rPr>
          <w:rFonts w:ascii="Times New Roman" w:hAnsi="Times New Roman" w:cs="Times New Roman"/>
          <w:kern w:val="0"/>
          <w:szCs w:val="28"/>
        </w:rPr>
        <w:t>提出绿色发展理念，加快主体功能区建设、推动低碳发展、加大自然生态系统和环境保护力度。生态文明体制改革各项任务和措施陆续出台并加快推进，生态保护和监管体制进一步理顺，生态空间用途管制将全面实施，生态环境监测网络将加快建立，生态统一监管能力将明显提高，为抚远市生态保护工作夯实基础。</w:t>
      </w:r>
      <w:r>
        <w:rPr>
          <w:rFonts w:hint="eastAsia" w:ascii="Times New Roman" w:hAnsi="Times New Roman" w:cs="Times New Roman"/>
          <w:kern w:val="0"/>
          <w:szCs w:val="28"/>
        </w:rPr>
        <w:t>黑龙江省提出加快发展有机食品、生态旅游、健康养老、现代林中经济等绿色生态产业，巩固提升生态化优势。抚远突出黑土地、淡水鱼都、三江湿地、黑瞎子岛等生态资源优势，推动绿色产业发展，建设宜居生态之城。</w:t>
      </w:r>
    </w:p>
    <w:bookmarkEnd w:id="15"/>
    <w:bookmarkEnd w:id="16"/>
    <w:bookmarkEnd w:id="17"/>
    <w:bookmarkEnd w:id="18"/>
    <w:bookmarkEnd w:id="19"/>
    <w:p>
      <w:pPr>
        <w:spacing w:line="600" w:lineRule="exact"/>
        <w:ind w:firstLine="596" w:firstLineChars="198"/>
        <w:outlineLvl w:val="3"/>
        <w:rPr>
          <w:b/>
          <w:sz w:val="30"/>
          <w:szCs w:val="30"/>
        </w:rPr>
      </w:pPr>
      <w:bookmarkStart w:id="161" w:name="_Toc73003378"/>
      <w:bookmarkStart w:id="162" w:name="_Toc74642357"/>
      <w:r>
        <w:rPr>
          <w:b/>
          <w:sz w:val="30"/>
          <w:szCs w:val="30"/>
        </w:rPr>
        <w:t>（二）未来机遇</w:t>
      </w:r>
    </w:p>
    <w:bookmarkEnd w:id="161"/>
    <w:bookmarkEnd w:id="162"/>
    <w:p>
      <w:pPr>
        <w:keepNext/>
        <w:keepLines/>
        <w:ind w:firstLine="600"/>
        <w:jc w:val="left"/>
        <w:outlineLvl w:val="1"/>
        <w:rPr>
          <w:rFonts w:ascii="Times New Roman" w:hAnsi="Times New Roman" w:cs="Times New Roman"/>
          <w:color w:val="000000"/>
          <w:sz w:val="30"/>
          <w:szCs w:val="32"/>
        </w:rPr>
      </w:pPr>
      <w:bookmarkStart w:id="163" w:name="_Toc74642358"/>
      <w:bookmarkStart w:id="164" w:name="_Toc77601157"/>
      <w:bookmarkStart w:id="165" w:name="_Toc77599106"/>
      <w:bookmarkStart w:id="166" w:name="_Toc77600830"/>
      <w:bookmarkStart w:id="167" w:name="_Toc77601339"/>
      <w:r>
        <w:rPr>
          <w:rFonts w:hint="eastAsia" w:ascii="Times New Roman" w:hAnsi="Times New Roman" w:cs="Times New Roman"/>
          <w:color w:val="000000"/>
          <w:sz w:val="30"/>
          <w:szCs w:val="32"/>
        </w:rPr>
        <w:t>（1）生态文明建设的时代背景</w:t>
      </w:r>
      <w:bookmarkEnd w:id="163"/>
      <w:bookmarkEnd w:id="164"/>
      <w:bookmarkEnd w:id="165"/>
      <w:bookmarkEnd w:id="166"/>
      <w:bookmarkEnd w:id="167"/>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习近平总书记在党的十九大报告中指出，人与自然是生命共同体，要加快生态文明体制改革，坚决打好污染防治攻坚战，建设富强民主文明和谐美丽的社会主义现代化强国。面对资源约束趋紧、环境污染严重、生态系统退化的严峻形势，中共中央、国务院提出了一系列推动生态文明建设的新思路、新要求，生态环境部按照中央相关要求，以国家生态文明建设示范市创建为抓手，在全国纵深推进生态文明建设，取得了丰硕成果</w:t>
      </w:r>
      <w:r>
        <w:rPr>
          <w:rFonts w:ascii="Times New Roman" w:hAnsi="Times New Roman" w:cs="Times New Roman"/>
          <w:kern w:val="0"/>
          <w:szCs w:val="28"/>
        </w:rPr>
        <w:t>。</w:t>
      </w:r>
      <w:r>
        <w:rPr>
          <w:rFonts w:hint="eastAsia" w:ascii="Times New Roman" w:hAnsi="Times New Roman" w:cs="Times New Roman"/>
          <w:kern w:val="0"/>
          <w:szCs w:val="28"/>
        </w:rPr>
        <w:t>同时2016年，习近平总书记登上黑瞎子岛强调黑瞎子岛重在生态保护，在保护基础上建设一些基础设施和发展旅游。黑龙江省提出加快发展有机食品、生态旅游、健康养老、现代林中经济等绿色生态产业，巩固提升生态化优势。这将有利于抚远突出黑土地、淡水鱼都、三江湿地、黑瞎子岛等生态资源优势，推动绿色产业发展，建设宜居生态之城。抚远市在推进生态文明建设、补齐环境短板、探索环境保护新思路方面力度越来越大、措施越来越实。</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当下一段时期是抚远市全面建成小康社会的关键时期，也是抚远市深化创新、协调、绿色、开放和共享五大发展理念和实施“五大规划”的重要时期，各级自然保护区及湿地、森林公园的建立等战略任务都高度切合抚远市实际，生态建设和环境保护被摆到更加突出的战略位置，面临诸多机遇。</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生态文明体制改革各项任务和措施陆续出台并加快推进，生态保护和监管体制将进一步理顺，生态空间用途管制将全面实施，生态环境监测网络将加快建立，生态统一监管能力将明显提高，为抚远市生态保护工作夯实基础。人民群众对高质量生活环境的强烈呼声为环境保护工作营造了良好的社会氛围。</w:t>
      </w:r>
    </w:p>
    <w:p>
      <w:pPr>
        <w:keepNext/>
        <w:keepLines/>
        <w:ind w:firstLine="600"/>
        <w:jc w:val="left"/>
        <w:outlineLvl w:val="1"/>
        <w:rPr>
          <w:rFonts w:ascii="Times New Roman" w:hAnsi="Times New Roman" w:cs="Times New Roman"/>
          <w:color w:val="000000"/>
          <w:sz w:val="30"/>
          <w:szCs w:val="32"/>
        </w:rPr>
      </w:pPr>
      <w:bookmarkStart w:id="168" w:name="_Toc74642359"/>
      <w:bookmarkStart w:id="169" w:name="_Toc77599107"/>
      <w:bookmarkStart w:id="170" w:name="_Toc77600831"/>
      <w:bookmarkStart w:id="171" w:name="_Toc77601158"/>
      <w:bookmarkStart w:id="172" w:name="_Toc77601340"/>
      <w:r>
        <w:rPr>
          <w:rFonts w:hint="eastAsia" w:ascii="Times New Roman" w:hAnsi="Times New Roman" w:cs="Times New Roman"/>
          <w:color w:val="000000"/>
          <w:sz w:val="30"/>
          <w:szCs w:val="32"/>
        </w:rPr>
        <w:t>（2）生态环境保护意识不断增强</w:t>
      </w:r>
      <w:bookmarkEnd w:id="168"/>
      <w:bookmarkEnd w:id="169"/>
      <w:bookmarkEnd w:id="170"/>
      <w:bookmarkEnd w:id="171"/>
      <w:bookmarkEnd w:id="172"/>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近年来，抚远市生态环境信息公开率一直达到100%，各地生态环境保护意识不断增强，“绿水青山就是金山银山”已成为各级党政领导干部的共识，也是全市人民群众的共识，全社会保护生态环境的合力正在形成。抚远市生态环境局加强环境宣传，大力倡导生态文明，开展形式新颖的环保宣传活动。通过多种形式的宣传，使广大群众对环保工作和环保理念有了初步认识。抚远市加强环境保护宣传作用，引导民众积极参与环境保护。联合环境保护志愿者联合会，培育壮大环保志愿者队伍，积极加强环保宣传力度，大力倡导健康、节约、环保的生活方式和消费模式。全民生态环保意识的增强为抚远市生态文明建设提供了良好的建设基础。</w:t>
      </w:r>
    </w:p>
    <w:p>
      <w:pPr>
        <w:keepNext/>
        <w:keepLines/>
        <w:ind w:firstLine="600"/>
        <w:jc w:val="left"/>
        <w:outlineLvl w:val="1"/>
        <w:rPr>
          <w:rFonts w:ascii="Times New Roman" w:hAnsi="Times New Roman" w:cs="Times New Roman"/>
          <w:color w:val="000000"/>
          <w:sz w:val="30"/>
          <w:szCs w:val="32"/>
        </w:rPr>
      </w:pPr>
      <w:bookmarkStart w:id="173" w:name="_Toc74642360"/>
      <w:bookmarkStart w:id="174" w:name="_Toc77601341"/>
      <w:bookmarkStart w:id="175" w:name="_Toc77600832"/>
      <w:bookmarkStart w:id="176" w:name="_Toc77599108"/>
      <w:bookmarkStart w:id="177" w:name="_Toc77601159"/>
      <w:r>
        <w:rPr>
          <w:rFonts w:hint="eastAsia" w:ascii="Times New Roman" w:hAnsi="Times New Roman" w:cs="Times New Roman"/>
          <w:color w:val="000000"/>
          <w:sz w:val="30"/>
          <w:szCs w:val="32"/>
        </w:rPr>
        <w:t>（3）生态环境质量逐渐改善</w:t>
      </w:r>
      <w:bookmarkEnd w:id="173"/>
      <w:bookmarkEnd w:id="174"/>
      <w:bookmarkEnd w:id="175"/>
      <w:bookmarkEnd w:id="176"/>
      <w:bookmarkEnd w:id="177"/>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近年来，抚远市生态环境局坚定“五大发展理念”，狠抓生态文明建设，严格环境监管执法，打好打赢污染防治攻坚战工作取得了一定的成绩，生态环境质量持续改善。</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积极推进燃煤锅炉淘汰改造。已全部淘汰建成区内10蒸吨以下燃煤小锅炉，圆满完成淘汰任务；持续开展有效解决秸秆露天焚烧督查检查工作。有效解决了秸秆露天焚烧工作。生态环境局建立了抚远市秸秆网格化监管平台，执法大队全体工作人员采取24小时值班制度，对全市秸秆火点进行实时监控，发现火点第一时间核查落点，确保全市零火点；以重点区域及物流主通道作为重点监管区域，以营运柴油货车和车用油品、尿素作为重点监管对象，强化上下联动、区域协同，统一执法尺度和力度，增强监管合力，并加强相关部门之间统筹协调和联合执法，建立完善信息共享机制，提高联合共治水平。</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对水源地开展全面摸底排查，制定问题清单，依据法律法规，开展“饮用水水源地”专项整治行动，强化监督管理，依法取缔饮用水水源地保护区内违法建筑。开展抚远辖区内24个（河流23条、湖泊1个）地表水体水质监测、完成“一河一策”方案（2018-2020年）编制、开展了抚远市山水林田湖项目中内河环境综合整治工程，研究制定了《抚远市港口污染物接收转运处置设施建设方案》和《抚远市港口污染物接收转运处置联单制度》。</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抚远市耕地类别划分完成比例100%，已与第三方公司签订合同，并交付采集完成的数据。目前已完成耕地土壤环境质量类别划分、耕地土壤面积测算等工作，正在进行土壤污染分类清单制定工作。固体废物污染防治工作。已完成工业固体废物堆存场所环境整治工作，建立排查清单。生态环境质量的不断改善不仅回应了广大人民群众的呼声和需求，更为抚远市生态文明建设提供了坚强的保障。</w:t>
      </w:r>
    </w:p>
    <w:p>
      <w:pPr>
        <w:keepNext/>
        <w:keepLines/>
        <w:ind w:firstLine="600"/>
        <w:jc w:val="left"/>
        <w:outlineLvl w:val="1"/>
        <w:rPr>
          <w:rFonts w:ascii="Times New Roman" w:hAnsi="Times New Roman" w:cs="Times New Roman"/>
          <w:color w:val="000000"/>
          <w:sz w:val="30"/>
          <w:szCs w:val="32"/>
        </w:rPr>
      </w:pPr>
      <w:bookmarkStart w:id="178" w:name="_Toc77601160"/>
      <w:bookmarkStart w:id="179" w:name="_Toc77600833"/>
      <w:bookmarkStart w:id="180" w:name="_Toc74642361"/>
      <w:bookmarkStart w:id="181" w:name="_Toc77599109"/>
      <w:bookmarkStart w:id="182" w:name="_Toc77601342"/>
      <w:r>
        <w:rPr>
          <w:rFonts w:hint="eastAsia" w:ascii="Times New Roman" w:hAnsi="Times New Roman" w:cs="Times New Roman"/>
          <w:color w:val="000000"/>
          <w:sz w:val="30"/>
          <w:szCs w:val="32"/>
        </w:rPr>
        <w:t>（4）生态环境保护工作稳步推进</w:t>
      </w:r>
      <w:bookmarkEnd w:id="178"/>
      <w:bookmarkEnd w:id="179"/>
      <w:bookmarkEnd w:id="180"/>
      <w:bookmarkEnd w:id="181"/>
      <w:bookmarkEnd w:id="182"/>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近年来，抚远市生态恢复与综合整治工作顺利推进，关停废弃矿山植被恢复力度加大。污染源控制力度加大，农业面源污染治理、界江水体污染整治、工业废水污染治理、热力废气脱硫脱硝、噪声污染企业整改等工程全面展开，提升居民生活环境水平。三江湿地、黑瞎子岛等自然保护区生态趋好，森林覆盖率和生物丰富度稳中有升。环境保护成效显著，空气环境质量达到国家一二类标准，地表水环境质量达到国家Ⅱ-Ⅲ类标准，声环境质量达到国家1-2类标准，环境质量位居全国前列。环保监管制度进一步创新。根据工作需要制定了多个环境保护工作方案，通过与乡镇（街道）联防联动，加强环境保护知识宣传教育，畅通环境污染投诉举报渠道，不断提高全民环保意识和主动参与保护环境的热情，同时应对环境突发事件的能力也得到明显提高。生态环境保护工作的稳步推进为抚远市生态文明建设迈上新的台阶。</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近年来，习近平总书记多次对东北、对黑龙江省作出重要讲话重要指示批示，特别是到抚远市考察调研时作出的重要指示，为抚远市推动全面振兴全方位振兴指明了发展方向、明确了目标路径。党中央、国务院出台系列支持东北振兴、兴边富民、对外开放等政策措施，为抚远市实现高质量发展、开展生态文明建设正带来前所未有的政策机遇。</w:t>
      </w:r>
    </w:p>
    <w:p>
      <w:pPr>
        <w:widowControl/>
        <w:spacing w:line="240" w:lineRule="auto"/>
        <w:ind w:firstLine="0" w:firstLineChars="0"/>
        <w:jc w:val="left"/>
        <w:rPr>
          <w:rFonts w:ascii="Cambria" w:hAnsi="Cambria" w:cs="Times New Roman"/>
          <w:b/>
          <w:bCs/>
          <w:color w:val="000000" w:themeColor="text1"/>
          <w:sz w:val="44"/>
          <w:szCs w:val="32"/>
          <w14:textFill>
            <w14:solidFill>
              <w14:schemeClr w14:val="tx1"/>
            </w14:solidFill>
          </w14:textFill>
        </w:rPr>
      </w:pPr>
      <w:bookmarkStart w:id="183" w:name="_Toc1922201190_WPSOffice_Level1"/>
      <w:bookmarkStart w:id="184" w:name="_Toc16320"/>
      <w:bookmarkStart w:id="185" w:name="_Toc77349626"/>
      <w:bookmarkStart w:id="186" w:name="_Toc77601161"/>
      <w:bookmarkStart w:id="187" w:name="_Toc1246228921_WPSOffice_Level1"/>
      <w:bookmarkStart w:id="188" w:name="_Toc77600834"/>
      <w:bookmarkStart w:id="189" w:name="_Toc77601343"/>
      <w:r>
        <w:br w:type="page"/>
      </w:r>
    </w:p>
    <w:p>
      <w:pPr>
        <w:pStyle w:val="22"/>
      </w:pPr>
      <w:r>
        <w:t>第二章  规划总则</w:t>
      </w:r>
      <w:bookmarkEnd w:id="183"/>
      <w:bookmarkEnd w:id="184"/>
      <w:bookmarkEnd w:id="185"/>
      <w:bookmarkEnd w:id="186"/>
      <w:bookmarkEnd w:id="187"/>
      <w:bookmarkEnd w:id="188"/>
      <w:bookmarkEnd w:id="189"/>
    </w:p>
    <w:p>
      <w:pPr>
        <w:pStyle w:val="3"/>
      </w:pPr>
      <w:bookmarkStart w:id="190" w:name="_Toc77349627"/>
      <w:bookmarkStart w:id="191" w:name="_Toc77601344"/>
      <w:bookmarkStart w:id="192" w:name="_Toc77601162"/>
      <w:bookmarkStart w:id="193" w:name="_Toc24244"/>
      <w:bookmarkStart w:id="194" w:name="_Toc1693043164_WPSOffice_Level2"/>
      <w:bookmarkStart w:id="195" w:name="_Toc77600835"/>
      <w:bookmarkStart w:id="196" w:name="_Toc1060054367_WPSOffice_Level2"/>
      <w:r>
        <w:t>第一节</w:t>
      </w:r>
      <w:r>
        <w:rPr>
          <w:rFonts w:hint="eastAsia"/>
        </w:rPr>
        <w:t xml:space="preserve">  </w:t>
      </w:r>
      <w:r>
        <w:t>指导思想</w:t>
      </w:r>
      <w:bookmarkEnd w:id="190"/>
      <w:bookmarkEnd w:id="191"/>
      <w:bookmarkEnd w:id="192"/>
      <w:bookmarkEnd w:id="193"/>
      <w:bookmarkEnd w:id="194"/>
      <w:bookmarkEnd w:id="195"/>
      <w:bookmarkEnd w:id="196"/>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习近平总书记在党的十九大报告中指出，人与自然是生命共同体，要加快生态文明体制改革，坚决打好污染防治攻坚战，建设富强民主文明和谐美丽的社会主义现代化强国。坚持以马克思列宁主义、毛泽东思想、邓小平理论、“三个代表”重要思想、科学发展观和习近平新时代中国特色社会主义思想为指导，以十九大报告中</w:t>
      </w:r>
      <w:r>
        <w:rPr>
          <w:rFonts w:hint="eastAsia" w:ascii="Times New Roman" w:hAnsi="Times New Roman" w:cs="Times New Roman"/>
          <w:kern w:val="0"/>
          <w:szCs w:val="28"/>
          <w:lang w:eastAsia="zh-CN"/>
        </w:rPr>
        <w:t>习近平生态文明思想</w:t>
      </w:r>
      <w:r>
        <w:rPr>
          <w:rFonts w:hint="eastAsia" w:ascii="Times New Roman" w:hAnsi="Times New Roman" w:cs="Times New Roman"/>
          <w:kern w:val="0"/>
          <w:szCs w:val="28"/>
        </w:rPr>
        <w:t>为引领，深入贯彻习近平总书记系列重要讲话精神，牢固树立创新、协调、绿色、开放、共享发展理念，以“四个全面”总体布局为总揽，注重保障民生，统筹经济社会与资源环境的关系，加快绿色发展、循环发展、低碳发展方式转变，实施可持续发展战略，优化空间开发格局，全面促进资源节约，加大自然生态系统和环境保护力度，有效落实国家加快沿边开发开放、省委省政府创新发展“五大规划”、推进“中蒙俄经济走廊”黑龙江陆海丝绸之路经济带建设的战略部署，深度挖掘沿边近海东极核心优势，全力构建旅游、商贸、现代农业、新兴工业和特色渔业等五大产业体系，着力将抚远打造为生态优良、产城融合</w:t>
      </w:r>
      <w:bookmarkStart w:id="197" w:name="_Hlk77118131"/>
      <w:r>
        <w:rPr>
          <w:rFonts w:hint="eastAsia" w:ascii="Times New Roman" w:hAnsi="Times New Roman" w:cs="Times New Roman"/>
          <w:kern w:val="0"/>
          <w:szCs w:val="28"/>
        </w:rPr>
        <w:t>、</w:t>
      </w:r>
      <w:bookmarkEnd w:id="197"/>
      <w:r>
        <w:rPr>
          <w:rFonts w:hint="eastAsia" w:ascii="Times New Roman" w:hAnsi="Times New Roman" w:cs="Times New Roman"/>
          <w:kern w:val="0"/>
          <w:szCs w:val="28"/>
        </w:rPr>
        <w:t>社会和谐、充满魅力的现代化国际商旅名城。</w:t>
      </w:r>
    </w:p>
    <w:p>
      <w:pPr>
        <w:pStyle w:val="3"/>
      </w:pPr>
      <w:bookmarkStart w:id="198" w:name="_Toc77600836"/>
      <w:bookmarkStart w:id="199" w:name="_Toc77349628"/>
      <w:bookmarkStart w:id="200" w:name="_Toc818134598_WPSOffice_Level2"/>
      <w:bookmarkStart w:id="201" w:name="_Toc809410657_WPSOffice_Level2"/>
      <w:bookmarkStart w:id="202" w:name="_Toc27564"/>
      <w:bookmarkStart w:id="203" w:name="_Toc77601163"/>
      <w:bookmarkStart w:id="204" w:name="_Toc77601345"/>
      <w:bookmarkStart w:id="205" w:name="_Toc74642370"/>
      <w:bookmarkStart w:id="206" w:name="_Toc73003383"/>
      <w:r>
        <w:t>第二节</w:t>
      </w:r>
      <w:r>
        <w:rPr>
          <w:rFonts w:hint="eastAsia"/>
        </w:rPr>
        <w:t xml:space="preserve">  </w:t>
      </w:r>
      <w:r>
        <w:t>规划原则</w:t>
      </w:r>
      <w:bookmarkEnd w:id="198"/>
      <w:bookmarkEnd w:id="199"/>
      <w:bookmarkEnd w:id="200"/>
      <w:bookmarkEnd w:id="201"/>
      <w:bookmarkEnd w:id="202"/>
      <w:bookmarkEnd w:id="203"/>
      <w:bookmarkEnd w:id="204"/>
    </w:p>
    <w:p>
      <w:pPr>
        <w:pStyle w:val="5"/>
      </w:pPr>
      <w:bookmarkStart w:id="207" w:name="_Toc77601164"/>
      <w:bookmarkStart w:id="208" w:name="_Toc77601346"/>
      <w:r>
        <w:rPr>
          <w:rFonts w:hint="eastAsia"/>
        </w:rPr>
        <w:t>1 科学性原则</w:t>
      </w:r>
      <w:bookmarkEnd w:id="205"/>
      <w:bookmarkEnd w:id="206"/>
      <w:bookmarkEnd w:id="207"/>
      <w:bookmarkEnd w:id="208"/>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生态文明建设规划的编制，要在系统分析抚远市自然-经济-社会复合生态系统的基础上，研究人与自然、经济与环境、社会与生态“三大关系”的和谐程度，坚持经济发展与生态环境保护相统一，资源开发利用与资源环境承载力相适应，促进经济、社会、环境协调可持续发展，不断提高抚远市生态化水平。</w:t>
      </w:r>
    </w:p>
    <w:p>
      <w:pPr>
        <w:pStyle w:val="5"/>
      </w:pPr>
      <w:bookmarkStart w:id="209" w:name="_Toc73003384"/>
      <w:bookmarkStart w:id="210" w:name="_Toc74642371"/>
      <w:bookmarkStart w:id="211" w:name="_Toc77601347"/>
      <w:bookmarkStart w:id="212" w:name="_Toc77601165"/>
      <w:r>
        <w:rPr>
          <w:rFonts w:hint="eastAsia"/>
        </w:rPr>
        <w:t>2 可操作性原则</w:t>
      </w:r>
      <w:bookmarkEnd w:id="209"/>
      <w:bookmarkEnd w:id="210"/>
      <w:bookmarkEnd w:id="211"/>
      <w:bookmarkEnd w:id="212"/>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生态文明建设规划的编制，要高度重视规划方案、重点工程与抚远市经济、社会和生态环境特征的适应性，从抚远市实际出发，发挥抚远为中俄边境地区的重要作用，构建“东丝路带”开放合作大平台和新机制，实现开放型经济发展新跨越。</w:t>
      </w:r>
    </w:p>
    <w:p>
      <w:pPr>
        <w:pStyle w:val="5"/>
      </w:pPr>
      <w:bookmarkStart w:id="213" w:name="_Toc74642372"/>
      <w:bookmarkStart w:id="214" w:name="_Toc77601166"/>
      <w:bookmarkStart w:id="215" w:name="_Toc77601348"/>
      <w:bookmarkStart w:id="216" w:name="_Toc73003385"/>
      <w:r>
        <w:rPr>
          <w:rFonts w:hint="eastAsia"/>
        </w:rPr>
        <w:t>3 前瞻性原则</w:t>
      </w:r>
      <w:bookmarkEnd w:id="213"/>
      <w:bookmarkEnd w:id="214"/>
      <w:bookmarkEnd w:id="215"/>
      <w:bookmarkEnd w:id="216"/>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生态文明建设规划的编制，要立足当前，着眼长远，在抚远市自然-经济-社会复合生态系统现状与问题分析的基础上，通过人口、经济等发展趋势的预测分析，顺应我国经济深度融入世界经济的趋势，积极对接国家“一带一路”、国家沿边开发开放和黑龙江省对外开放战略，并结合切实可行的规划措施，以指导抚远市生态文明建设的有序推进</w:t>
      </w:r>
      <w:r>
        <w:rPr>
          <w:rFonts w:ascii="Times New Roman" w:hAnsi="Times New Roman" w:cs="Times New Roman"/>
          <w:kern w:val="0"/>
          <w:szCs w:val="28"/>
        </w:rPr>
        <w:t>。</w:t>
      </w:r>
    </w:p>
    <w:p>
      <w:pPr>
        <w:pStyle w:val="4"/>
      </w:pPr>
      <w:bookmarkStart w:id="217" w:name="_Toc77601167"/>
      <w:bookmarkStart w:id="218" w:name="_Toc2140392483_WPSOffice_Level3"/>
      <w:bookmarkStart w:id="219" w:name="_Toc1447414370_WPSOffice_Level3"/>
      <w:bookmarkStart w:id="220" w:name="_Toc9097"/>
      <w:bookmarkStart w:id="221" w:name="_Toc77349629"/>
      <w:bookmarkStart w:id="222" w:name="_Toc77600837"/>
      <w:bookmarkStart w:id="223" w:name="_Toc77601349"/>
      <w:r>
        <w:t>第三节</w:t>
      </w:r>
      <w:r>
        <w:rPr>
          <w:rFonts w:hint="eastAsia"/>
        </w:rPr>
        <w:t xml:space="preserve">  </w:t>
      </w:r>
      <w:r>
        <w:t>规划</w:t>
      </w:r>
      <w:r>
        <w:rPr>
          <w:rFonts w:hint="eastAsia"/>
        </w:rPr>
        <w:t>范围与</w:t>
      </w:r>
      <w:r>
        <w:t>依据</w:t>
      </w:r>
      <w:bookmarkEnd w:id="217"/>
      <w:bookmarkEnd w:id="218"/>
      <w:bookmarkEnd w:id="219"/>
      <w:bookmarkEnd w:id="220"/>
      <w:bookmarkEnd w:id="221"/>
      <w:bookmarkEnd w:id="222"/>
      <w:bookmarkEnd w:id="223"/>
    </w:p>
    <w:p>
      <w:pPr>
        <w:pStyle w:val="5"/>
      </w:pPr>
      <w:bookmarkStart w:id="224" w:name="_Toc74642374"/>
      <w:bookmarkStart w:id="225" w:name="_Toc77601168"/>
      <w:bookmarkStart w:id="226" w:name="_Toc73003387"/>
      <w:bookmarkStart w:id="227" w:name="_Toc77601350"/>
      <w:r>
        <w:rPr>
          <w:rFonts w:hint="eastAsia"/>
        </w:rPr>
        <w:t>1 规划范围</w:t>
      </w:r>
      <w:bookmarkEnd w:id="224"/>
      <w:bookmarkEnd w:id="225"/>
      <w:bookmarkEnd w:id="226"/>
      <w:bookmarkEnd w:id="227"/>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抚远市面积为</w:t>
      </w:r>
      <w:bookmarkStart w:id="228" w:name="_Hlk74060671"/>
      <w:r>
        <w:rPr>
          <w:rFonts w:hint="eastAsia" w:ascii="Times New Roman" w:hAnsi="Times New Roman" w:cs="Times New Roman"/>
          <w:kern w:val="0"/>
          <w:szCs w:val="28"/>
        </w:rPr>
        <w:t>6262.48</w:t>
      </w:r>
      <w:bookmarkEnd w:id="228"/>
      <w:r>
        <w:rPr>
          <w:rFonts w:hint="eastAsia" w:ascii="Times New Roman" w:hAnsi="Times New Roman" w:cs="Times New Roman"/>
          <w:kern w:val="0"/>
          <w:szCs w:val="28"/>
        </w:rPr>
        <w:t>平方公里，包括</w:t>
      </w:r>
      <w:r>
        <w:rPr>
          <w:rFonts w:ascii="Times New Roman" w:hAnsi="Times New Roman" w:cs="Times New Roman"/>
          <w:kern w:val="0"/>
          <w:szCs w:val="28"/>
        </w:rPr>
        <w:t>5</w:t>
      </w:r>
      <w:r>
        <w:rPr>
          <w:rFonts w:hint="eastAsia" w:ascii="Times New Roman" w:hAnsi="Times New Roman" w:cs="Times New Roman"/>
          <w:kern w:val="0"/>
          <w:szCs w:val="28"/>
        </w:rPr>
        <w:t>镇5乡</w:t>
      </w:r>
      <w:r>
        <w:rPr>
          <w:rFonts w:hint="eastAsia" w:ascii="宋体" w:hAnsi="宋体" w:cs="Times New Roman"/>
          <w:kern w:val="0"/>
          <w:szCs w:val="28"/>
        </w:rPr>
        <w:t>(</w:t>
      </w:r>
      <w:r>
        <w:rPr>
          <w:rFonts w:hint="eastAsia" w:ascii="Times New Roman" w:hAnsi="Times New Roman" w:cs="Times New Roman"/>
          <w:kern w:val="0"/>
          <w:szCs w:val="28"/>
        </w:rPr>
        <w:t>抚远镇、浓桥镇、抓吉镇、黑瞎子镇、寒葱沟镇、别拉洪乡、海青乡、鸭南乡、浓江乡、通江乡</w:t>
      </w:r>
      <w:r>
        <w:rPr>
          <w:rFonts w:hint="eastAsia" w:ascii="宋体" w:hAnsi="宋体" w:cs="Times New Roman"/>
          <w:kern w:val="0"/>
          <w:szCs w:val="28"/>
        </w:rPr>
        <w:t>)</w:t>
      </w:r>
      <w:r>
        <w:rPr>
          <w:rFonts w:hint="eastAsia" w:ascii="Times New Roman" w:hAnsi="Times New Roman" w:cs="Times New Roman"/>
          <w:kern w:val="0"/>
          <w:szCs w:val="28"/>
        </w:rPr>
        <w:t>，</w:t>
      </w:r>
      <w:r>
        <w:rPr>
          <w:rFonts w:ascii="Times New Roman" w:hAnsi="Times New Roman" w:cs="Times New Roman"/>
          <w:kern w:val="0"/>
          <w:szCs w:val="28"/>
        </w:rPr>
        <w:t>3</w:t>
      </w:r>
      <w:r>
        <w:rPr>
          <w:rFonts w:hint="eastAsia" w:ascii="Times New Roman" w:hAnsi="Times New Roman" w:cs="Times New Roman"/>
          <w:kern w:val="0"/>
          <w:szCs w:val="28"/>
        </w:rPr>
        <w:t>个国有农场（前锋农场、前哨农场、二道河农场）。</w:t>
      </w:r>
    </w:p>
    <w:p>
      <w:pPr>
        <w:pStyle w:val="5"/>
      </w:pPr>
      <w:bookmarkStart w:id="229" w:name="_Toc74642375"/>
      <w:bookmarkStart w:id="230" w:name="_Toc73003388"/>
      <w:bookmarkStart w:id="231" w:name="_Toc77601169"/>
      <w:bookmarkStart w:id="232" w:name="_Toc77601351"/>
      <w:r>
        <w:rPr>
          <w:rFonts w:hint="eastAsia"/>
        </w:rPr>
        <w:t>2 规划期限</w:t>
      </w:r>
      <w:bookmarkEnd w:id="229"/>
      <w:bookmarkEnd w:id="230"/>
      <w:bookmarkEnd w:id="231"/>
      <w:bookmarkEnd w:id="232"/>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规划以201</w:t>
      </w:r>
      <w:r>
        <w:rPr>
          <w:rFonts w:ascii="Times New Roman" w:hAnsi="Times New Roman" w:cs="Times New Roman"/>
          <w:kern w:val="0"/>
          <w:szCs w:val="28"/>
        </w:rPr>
        <w:t>9</w:t>
      </w:r>
      <w:r>
        <w:rPr>
          <w:rFonts w:hint="eastAsia" w:ascii="Times New Roman" w:hAnsi="Times New Roman" w:cs="Times New Roman"/>
          <w:kern w:val="0"/>
          <w:szCs w:val="28"/>
        </w:rPr>
        <w:t>年为基准年，规划期为20</w:t>
      </w:r>
      <w:r>
        <w:rPr>
          <w:rFonts w:ascii="Times New Roman" w:hAnsi="Times New Roman" w:cs="Times New Roman"/>
          <w:kern w:val="0"/>
          <w:szCs w:val="28"/>
        </w:rPr>
        <w:t>20</w:t>
      </w:r>
      <w:r>
        <w:rPr>
          <w:rFonts w:hint="eastAsia" w:ascii="Times New Roman" w:hAnsi="Times New Roman" w:cs="Times New Roman"/>
          <w:kern w:val="0"/>
          <w:szCs w:val="28"/>
        </w:rPr>
        <w:t>-202</w:t>
      </w:r>
      <w:r>
        <w:rPr>
          <w:rFonts w:ascii="Times New Roman" w:hAnsi="Times New Roman" w:cs="Times New Roman"/>
          <w:kern w:val="0"/>
          <w:szCs w:val="28"/>
        </w:rPr>
        <w:t>5</w:t>
      </w:r>
      <w:r>
        <w:rPr>
          <w:rFonts w:hint="eastAsia" w:ascii="Times New Roman" w:hAnsi="Times New Roman" w:cs="Times New Roman"/>
          <w:kern w:val="0"/>
          <w:szCs w:val="28"/>
        </w:rPr>
        <w:t>年。规划分为两期，前期20</w:t>
      </w:r>
      <w:r>
        <w:rPr>
          <w:rFonts w:ascii="Times New Roman" w:hAnsi="Times New Roman" w:cs="Times New Roman"/>
          <w:kern w:val="0"/>
          <w:szCs w:val="28"/>
        </w:rPr>
        <w:t>20</w:t>
      </w:r>
      <w:r>
        <w:rPr>
          <w:rFonts w:hint="eastAsia" w:ascii="Times New Roman" w:hAnsi="Times New Roman" w:cs="Times New Roman"/>
          <w:kern w:val="0"/>
          <w:szCs w:val="28"/>
        </w:rPr>
        <w:t>-20</w:t>
      </w:r>
      <w:r>
        <w:rPr>
          <w:rFonts w:ascii="Times New Roman" w:hAnsi="Times New Roman" w:cs="Times New Roman"/>
          <w:kern w:val="0"/>
          <w:szCs w:val="28"/>
        </w:rPr>
        <w:t>22</w:t>
      </w:r>
      <w:r>
        <w:rPr>
          <w:rFonts w:hint="eastAsia" w:ascii="Times New Roman" w:hAnsi="Times New Roman" w:cs="Times New Roman"/>
          <w:kern w:val="0"/>
          <w:szCs w:val="28"/>
        </w:rPr>
        <w:t>年，后期20</w:t>
      </w:r>
      <w:r>
        <w:rPr>
          <w:rFonts w:ascii="Times New Roman" w:hAnsi="Times New Roman" w:cs="Times New Roman"/>
          <w:kern w:val="0"/>
          <w:szCs w:val="28"/>
        </w:rPr>
        <w:t>23</w:t>
      </w:r>
      <w:r>
        <w:rPr>
          <w:rFonts w:hint="eastAsia" w:ascii="Times New Roman" w:hAnsi="Times New Roman" w:cs="Times New Roman"/>
          <w:kern w:val="0"/>
          <w:szCs w:val="28"/>
        </w:rPr>
        <w:t>-202</w:t>
      </w:r>
      <w:r>
        <w:rPr>
          <w:rFonts w:ascii="Times New Roman" w:hAnsi="Times New Roman" w:cs="Times New Roman"/>
          <w:kern w:val="0"/>
          <w:szCs w:val="28"/>
        </w:rPr>
        <w:t>5</w:t>
      </w:r>
      <w:r>
        <w:rPr>
          <w:rFonts w:hint="eastAsia" w:ascii="Times New Roman" w:hAnsi="Times New Roman" w:cs="Times New Roman"/>
          <w:kern w:val="0"/>
          <w:szCs w:val="28"/>
        </w:rPr>
        <w:t>年。</w:t>
      </w:r>
    </w:p>
    <w:p>
      <w:pPr>
        <w:pStyle w:val="5"/>
      </w:pPr>
      <w:bookmarkStart w:id="233" w:name="_Toc74642376"/>
      <w:bookmarkStart w:id="234" w:name="_Toc77601352"/>
      <w:bookmarkStart w:id="235" w:name="_Toc73003389"/>
      <w:bookmarkStart w:id="236" w:name="_Toc77601170"/>
      <w:r>
        <w:rPr>
          <w:rFonts w:hint="eastAsia"/>
        </w:rPr>
        <w:t>3 规划依据</w:t>
      </w:r>
      <w:bookmarkEnd w:id="233"/>
      <w:bookmarkEnd w:id="234"/>
      <w:bookmarkEnd w:id="235"/>
      <w:bookmarkEnd w:id="236"/>
    </w:p>
    <w:p>
      <w:pPr>
        <w:keepNext/>
        <w:keepLines/>
        <w:ind w:firstLine="602"/>
        <w:jc w:val="left"/>
        <w:outlineLvl w:val="0"/>
        <w:rPr>
          <w:rFonts w:ascii="宋体" w:hAnsi="宋体" w:cs="黑体"/>
          <w:b/>
          <w:bCs/>
          <w:color w:val="000000"/>
          <w:sz w:val="30"/>
          <w:szCs w:val="32"/>
        </w:rPr>
      </w:pPr>
      <w:bookmarkStart w:id="237" w:name="_Toc74642377"/>
      <w:bookmarkStart w:id="238" w:name="_Toc77601171"/>
      <w:bookmarkStart w:id="239" w:name="_Toc77601353"/>
      <w:bookmarkStart w:id="240" w:name="_Toc77600838"/>
      <w:r>
        <w:rPr>
          <w:rFonts w:hint="eastAsia" w:ascii="宋体" w:hAnsi="宋体" w:cs="黑体"/>
          <w:b/>
          <w:bCs/>
          <w:color w:val="000000"/>
          <w:sz w:val="30"/>
          <w:szCs w:val="32"/>
        </w:rPr>
        <w:t>国家相关法律、法规和标准</w:t>
      </w:r>
      <w:bookmarkEnd w:id="237"/>
      <w:bookmarkEnd w:id="238"/>
      <w:bookmarkEnd w:id="239"/>
      <w:bookmarkEnd w:id="240"/>
    </w:p>
    <w:p>
      <w:pPr>
        <w:adjustRightInd w:val="0"/>
        <w:ind w:firstLine="560"/>
        <w:textAlignment w:val="baseline"/>
        <w:rPr>
          <w:rFonts w:ascii="Times New Roman" w:hAnsi="Times New Roman" w:cs="Times New Roman"/>
          <w:kern w:val="0"/>
          <w:szCs w:val="28"/>
        </w:rPr>
      </w:pPr>
      <w:r>
        <w:rPr>
          <w:rFonts w:hint="eastAsia" w:ascii="Times New Roman" w:hAnsi="Times New Roman" w:cs="ËÎÌå"/>
          <w:color w:val="000000"/>
          <w:kern w:val="0"/>
          <w:szCs w:val="28"/>
        </w:rPr>
        <w:t>《</w:t>
      </w:r>
      <w:r>
        <w:rPr>
          <w:rFonts w:hint="eastAsia" w:ascii="Times New Roman" w:hAnsi="Times New Roman" w:cs="Times New Roman"/>
          <w:kern w:val="0"/>
          <w:szCs w:val="28"/>
        </w:rPr>
        <w:t>中华人民共和国环境保护法》（2015年）；</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《中华人民共和国水污染防治法》（20</w:t>
      </w:r>
      <w:r>
        <w:rPr>
          <w:rFonts w:ascii="Times New Roman" w:hAnsi="Times New Roman" w:cs="Times New Roman"/>
          <w:kern w:val="0"/>
          <w:szCs w:val="28"/>
        </w:rPr>
        <w:t>1</w:t>
      </w:r>
      <w:r>
        <w:rPr>
          <w:rFonts w:hint="eastAsia" w:ascii="Times New Roman" w:hAnsi="Times New Roman" w:cs="Times New Roman"/>
          <w:kern w:val="0"/>
          <w:szCs w:val="28"/>
        </w:rPr>
        <w:t>8年）；</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《中华人民共和国固体废物污染环境防治法》（</w:t>
      </w:r>
      <w:r>
        <w:rPr>
          <w:rFonts w:ascii="Times New Roman" w:hAnsi="Times New Roman" w:cs="Times New Roman"/>
          <w:kern w:val="0"/>
          <w:szCs w:val="28"/>
        </w:rPr>
        <w:t>2020</w:t>
      </w:r>
      <w:r>
        <w:rPr>
          <w:rFonts w:hint="eastAsia" w:ascii="Times New Roman" w:hAnsi="Times New Roman" w:cs="Times New Roman"/>
          <w:kern w:val="0"/>
          <w:szCs w:val="28"/>
        </w:rPr>
        <w:t>年）；</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《中华人民共和国大气污染防治法》（20</w:t>
      </w:r>
      <w:r>
        <w:rPr>
          <w:rFonts w:ascii="Times New Roman" w:hAnsi="Times New Roman" w:cs="Times New Roman"/>
          <w:kern w:val="0"/>
          <w:szCs w:val="28"/>
        </w:rPr>
        <w:t>16</w:t>
      </w:r>
      <w:r>
        <w:rPr>
          <w:rFonts w:hint="eastAsia" w:ascii="Times New Roman" w:hAnsi="Times New Roman" w:cs="Times New Roman"/>
          <w:kern w:val="0"/>
          <w:szCs w:val="28"/>
        </w:rPr>
        <w:t>年）；</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《中华人民共和国循环经济促进法》（2008年）；</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《中华人民共和国水法》（</w:t>
      </w:r>
      <w:r>
        <w:rPr>
          <w:rFonts w:ascii="Times New Roman" w:hAnsi="Times New Roman" w:cs="Times New Roman"/>
          <w:kern w:val="0"/>
          <w:szCs w:val="28"/>
        </w:rPr>
        <w:t>2002</w:t>
      </w:r>
      <w:r>
        <w:rPr>
          <w:rFonts w:hint="eastAsia" w:ascii="Times New Roman" w:hAnsi="Times New Roman" w:cs="Times New Roman"/>
          <w:kern w:val="0"/>
          <w:szCs w:val="28"/>
        </w:rPr>
        <w:t>年）；</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《中华人民共和国农业法》（2012年）；</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《中华人民共和国清洁生产促进法》（</w:t>
      </w:r>
      <w:r>
        <w:rPr>
          <w:rFonts w:ascii="Times New Roman" w:hAnsi="Times New Roman" w:cs="Times New Roman"/>
          <w:kern w:val="0"/>
          <w:szCs w:val="28"/>
        </w:rPr>
        <w:t>2002</w:t>
      </w:r>
      <w:r>
        <w:rPr>
          <w:rFonts w:hint="eastAsia" w:ascii="Times New Roman" w:hAnsi="Times New Roman" w:cs="Times New Roman"/>
          <w:kern w:val="0"/>
          <w:szCs w:val="28"/>
        </w:rPr>
        <w:t>年）；</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《中华人民共和国节约能源法》（</w:t>
      </w:r>
      <w:r>
        <w:rPr>
          <w:rFonts w:ascii="Times New Roman" w:hAnsi="Times New Roman" w:cs="Times New Roman"/>
          <w:kern w:val="0"/>
          <w:szCs w:val="28"/>
        </w:rPr>
        <w:t>2007</w:t>
      </w:r>
      <w:r>
        <w:rPr>
          <w:rFonts w:hint="eastAsia" w:ascii="Times New Roman" w:hAnsi="Times New Roman" w:cs="Times New Roman"/>
          <w:kern w:val="0"/>
          <w:szCs w:val="28"/>
        </w:rPr>
        <w:t>年）；</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《中华人民共和国水土保持法》（</w:t>
      </w:r>
      <w:r>
        <w:rPr>
          <w:rFonts w:ascii="Times New Roman" w:hAnsi="Times New Roman" w:cs="Times New Roman"/>
          <w:kern w:val="0"/>
          <w:szCs w:val="28"/>
        </w:rPr>
        <w:t>1991</w:t>
      </w:r>
      <w:r>
        <w:rPr>
          <w:rFonts w:hint="eastAsia" w:ascii="Times New Roman" w:hAnsi="Times New Roman" w:cs="Times New Roman"/>
          <w:kern w:val="0"/>
          <w:szCs w:val="28"/>
        </w:rPr>
        <w:t>年）；</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《中华人民共和国土地管理法》（</w:t>
      </w:r>
      <w:r>
        <w:rPr>
          <w:rFonts w:ascii="Times New Roman" w:hAnsi="Times New Roman" w:cs="Times New Roman"/>
          <w:kern w:val="0"/>
          <w:szCs w:val="28"/>
        </w:rPr>
        <w:t>2004</w:t>
      </w:r>
      <w:r>
        <w:rPr>
          <w:rFonts w:hint="eastAsia" w:ascii="Times New Roman" w:hAnsi="Times New Roman" w:cs="Times New Roman"/>
          <w:kern w:val="0"/>
          <w:szCs w:val="28"/>
        </w:rPr>
        <w:t>年）；</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《中华人民共和国自然保护区条例》（</w:t>
      </w:r>
      <w:r>
        <w:rPr>
          <w:rFonts w:ascii="Times New Roman" w:hAnsi="Times New Roman" w:cs="Times New Roman"/>
          <w:kern w:val="0"/>
          <w:szCs w:val="28"/>
        </w:rPr>
        <w:t>1994</w:t>
      </w:r>
      <w:r>
        <w:rPr>
          <w:rFonts w:hint="eastAsia" w:ascii="Times New Roman" w:hAnsi="Times New Roman" w:cs="Times New Roman"/>
          <w:kern w:val="0"/>
          <w:szCs w:val="28"/>
        </w:rPr>
        <w:t>年）；</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《中华人民共和国城乡规划法》（2008年）；</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《全国主体功能区划》（</w:t>
      </w:r>
      <w:r>
        <w:rPr>
          <w:rFonts w:ascii="Times New Roman" w:hAnsi="Times New Roman" w:cs="Times New Roman"/>
          <w:kern w:val="0"/>
          <w:szCs w:val="28"/>
        </w:rPr>
        <w:t>2010</w:t>
      </w:r>
      <w:r>
        <w:rPr>
          <w:rFonts w:hint="eastAsia" w:ascii="Times New Roman" w:hAnsi="Times New Roman" w:cs="Times New Roman"/>
          <w:kern w:val="0"/>
          <w:szCs w:val="28"/>
        </w:rPr>
        <w:t>年）；</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《基本农田保护条例》（</w:t>
      </w:r>
      <w:r>
        <w:rPr>
          <w:rFonts w:ascii="Times New Roman" w:hAnsi="Times New Roman" w:cs="Times New Roman"/>
          <w:kern w:val="0"/>
          <w:szCs w:val="28"/>
        </w:rPr>
        <w:t>1998</w:t>
      </w:r>
      <w:r>
        <w:rPr>
          <w:rFonts w:hint="eastAsia" w:ascii="Times New Roman" w:hAnsi="Times New Roman" w:cs="Times New Roman"/>
          <w:kern w:val="0"/>
          <w:szCs w:val="28"/>
        </w:rPr>
        <w:t>年）；</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《饮用水水源保护区污染防治管理规定》（</w:t>
      </w:r>
      <w:r>
        <w:rPr>
          <w:rFonts w:ascii="Times New Roman" w:hAnsi="Times New Roman" w:cs="Times New Roman"/>
          <w:kern w:val="0"/>
          <w:szCs w:val="28"/>
        </w:rPr>
        <w:t>2010</w:t>
      </w:r>
      <w:r>
        <w:rPr>
          <w:rFonts w:hint="eastAsia" w:ascii="Times New Roman" w:hAnsi="Times New Roman" w:cs="Times New Roman"/>
          <w:kern w:val="0"/>
          <w:szCs w:val="28"/>
        </w:rPr>
        <w:t>年）；</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《环境空气质量标准》（G</w:t>
      </w:r>
      <w:r>
        <w:rPr>
          <w:rFonts w:ascii="Times New Roman" w:hAnsi="Times New Roman" w:cs="Times New Roman"/>
          <w:kern w:val="0"/>
          <w:szCs w:val="28"/>
        </w:rPr>
        <w:t>B3095-2012</w:t>
      </w:r>
      <w:r>
        <w:rPr>
          <w:rFonts w:hint="eastAsia" w:ascii="Times New Roman" w:hAnsi="Times New Roman" w:cs="Times New Roman"/>
          <w:kern w:val="0"/>
          <w:szCs w:val="28"/>
        </w:rPr>
        <w:t>）（</w:t>
      </w:r>
      <w:r>
        <w:rPr>
          <w:rFonts w:ascii="Times New Roman" w:hAnsi="Times New Roman" w:cs="Times New Roman"/>
          <w:kern w:val="0"/>
          <w:szCs w:val="28"/>
        </w:rPr>
        <w:t>2012</w:t>
      </w:r>
      <w:r>
        <w:rPr>
          <w:rFonts w:hint="eastAsia" w:ascii="Times New Roman" w:hAnsi="Times New Roman" w:cs="Times New Roman"/>
          <w:kern w:val="0"/>
          <w:szCs w:val="28"/>
        </w:rPr>
        <w:t>年）；</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《土壤环境质量标准》（G</w:t>
      </w:r>
      <w:r>
        <w:rPr>
          <w:rFonts w:ascii="Times New Roman" w:hAnsi="Times New Roman" w:cs="Times New Roman"/>
          <w:kern w:val="0"/>
          <w:szCs w:val="28"/>
        </w:rPr>
        <w:t>B15618-1995</w:t>
      </w:r>
      <w:r>
        <w:rPr>
          <w:rFonts w:hint="eastAsia" w:ascii="Times New Roman" w:hAnsi="Times New Roman" w:cs="Times New Roman"/>
          <w:kern w:val="0"/>
          <w:szCs w:val="28"/>
        </w:rPr>
        <w:t>）（</w:t>
      </w:r>
      <w:r>
        <w:rPr>
          <w:rFonts w:ascii="Times New Roman" w:hAnsi="Times New Roman" w:cs="Times New Roman"/>
          <w:kern w:val="0"/>
          <w:szCs w:val="28"/>
        </w:rPr>
        <w:t>1995</w:t>
      </w:r>
      <w:r>
        <w:rPr>
          <w:rFonts w:hint="eastAsia" w:ascii="Times New Roman" w:hAnsi="Times New Roman" w:cs="Times New Roman"/>
          <w:kern w:val="0"/>
          <w:szCs w:val="28"/>
        </w:rPr>
        <w:t>年）；</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《地表水环境质量标准》（G</w:t>
      </w:r>
      <w:r>
        <w:rPr>
          <w:rFonts w:ascii="Times New Roman" w:hAnsi="Times New Roman" w:cs="Times New Roman"/>
          <w:kern w:val="0"/>
          <w:szCs w:val="28"/>
        </w:rPr>
        <w:t>B3838-2002</w:t>
      </w:r>
      <w:r>
        <w:rPr>
          <w:rFonts w:hint="eastAsia" w:ascii="Times New Roman" w:hAnsi="Times New Roman" w:cs="Times New Roman"/>
          <w:kern w:val="0"/>
          <w:szCs w:val="28"/>
        </w:rPr>
        <w:t>）（</w:t>
      </w:r>
      <w:r>
        <w:rPr>
          <w:rFonts w:ascii="Times New Roman" w:hAnsi="Times New Roman" w:cs="Times New Roman"/>
          <w:kern w:val="0"/>
          <w:szCs w:val="28"/>
        </w:rPr>
        <w:t>2002</w:t>
      </w:r>
      <w:r>
        <w:rPr>
          <w:rFonts w:hint="eastAsia" w:ascii="Times New Roman" w:hAnsi="Times New Roman" w:cs="Times New Roman"/>
          <w:kern w:val="0"/>
          <w:szCs w:val="28"/>
        </w:rPr>
        <w:t>年）；</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《生活饮用水卫生标准》（G</w:t>
      </w:r>
      <w:r>
        <w:rPr>
          <w:rFonts w:ascii="Times New Roman" w:hAnsi="Times New Roman" w:cs="Times New Roman"/>
          <w:kern w:val="0"/>
          <w:szCs w:val="28"/>
        </w:rPr>
        <w:t>B5749-2006</w:t>
      </w:r>
      <w:r>
        <w:rPr>
          <w:rFonts w:hint="eastAsia" w:ascii="Times New Roman" w:hAnsi="Times New Roman" w:cs="Times New Roman"/>
          <w:kern w:val="0"/>
          <w:szCs w:val="28"/>
        </w:rPr>
        <w:t>）（</w:t>
      </w:r>
      <w:r>
        <w:rPr>
          <w:rFonts w:ascii="Times New Roman" w:hAnsi="Times New Roman" w:cs="Times New Roman"/>
          <w:kern w:val="0"/>
          <w:szCs w:val="28"/>
        </w:rPr>
        <w:t>2006</w:t>
      </w:r>
      <w:r>
        <w:rPr>
          <w:rFonts w:hint="eastAsia" w:ascii="Times New Roman" w:hAnsi="Times New Roman" w:cs="Times New Roman"/>
          <w:kern w:val="0"/>
          <w:szCs w:val="28"/>
        </w:rPr>
        <w:t>年）；</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《污水综合排放标准》（G</w:t>
      </w:r>
      <w:r>
        <w:rPr>
          <w:rFonts w:ascii="Times New Roman" w:hAnsi="Times New Roman" w:cs="Times New Roman"/>
          <w:kern w:val="0"/>
          <w:szCs w:val="28"/>
        </w:rPr>
        <w:t>B8978-1996</w:t>
      </w:r>
      <w:r>
        <w:rPr>
          <w:rFonts w:hint="eastAsia" w:ascii="Times New Roman" w:hAnsi="Times New Roman" w:cs="Times New Roman"/>
          <w:kern w:val="0"/>
          <w:szCs w:val="28"/>
        </w:rPr>
        <w:t>）（</w:t>
      </w:r>
      <w:r>
        <w:rPr>
          <w:rFonts w:ascii="Times New Roman" w:hAnsi="Times New Roman" w:cs="Times New Roman"/>
          <w:kern w:val="0"/>
          <w:szCs w:val="28"/>
        </w:rPr>
        <w:t>1996</w:t>
      </w:r>
      <w:r>
        <w:rPr>
          <w:rFonts w:hint="eastAsia" w:ascii="Times New Roman" w:hAnsi="Times New Roman" w:cs="Times New Roman"/>
          <w:kern w:val="0"/>
          <w:szCs w:val="28"/>
        </w:rPr>
        <w:t>年）</w:t>
      </w:r>
    </w:p>
    <w:p>
      <w:pPr>
        <w:keepNext/>
        <w:keepLines/>
        <w:ind w:firstLine="602"/>
        <w:jc w:val="left"/>
        <w:outlineLvl w:val="0"/>
        <w:rPr>
          <w:rFonts w:ascii="宋体" w:hAnsi="宋体" w:cs="黑体"/>
          <w:b/>
          <w:bCs/>
          <w:color w:val="000000"/>
          <w:sz w:val="30"/>
          <w:szCs w:val="32"/>
        </w:rPr>
      </w:pPr>
      <w:bookmarkStart w:id="241" w:name="_Toc77601354"/>
      <w:bookmarkStart w:id="242" w:name="_Toc77601172"/>
      <w:bookmarkStart w:id="243" w:name="_Toc74642378"/>
      <w:bookmarkStart w:id="244" w:name="_Toc77600839"/>
      <w:r>
        <w:rPr>
          <w:rFonts w:hint="eastAsia" w:ascii="宋体" w:hAnsi="宋体" w:cs="黑体"/>
          <w:b/>
          <w:bCs/>
          <w:color w:val="000000"/>
          <w:sz w:val="30"/>
          <w:szCs w:val="32"/>
        </w:rPr>
        <w:t>相关规划及文件</w:t>
      </w:r>
      <w:bookmarkEnd w:id="241"/>
      <w:bookmarkEnd w:id="242"/>
      <w:bookmarkEnd w:id="243"/>
      <w:bookmarkEnd w:id="244"/>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《中共中央国务院关于加快推进生态文明建设的意见》（中发〔2015〕12号）；</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《中共中央国务院关于印发〈生态文明体制改革总体方案〉的通知》（中发〔2015〕25号）；</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《国家生态文明建设示范市县建设指标》（环办生态函〔2019〕76号）；</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《国家生态文明建设示范市县管理规程》（环生态2019〔76〕号）；</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《生态环境监测网络建设方案》（国发〔</w:t>
      </w:r>
      <w:r>
        <w:rPr>
          <w:rFonts w:ascii="Times New Roman" w:hAnsi="Times New Roman" w:cs="Times New Roman"/>
          <w:kern w:val="0"/>
          <w:szCs w:val="28"/>
        </w:rPr>
        <w:t>2015</w:t>
      </w:r>
      <w:r>
        <w:rPr>
          <w:rFonts w:hint="eastAsia" w:ascii="Times New Roman" w:hAnsi="Times New Roman" w:cs="Times New Roman"/>
          <w:kern w:val="0"/>
          <w:szCs w:val="28"/>
        </w:rPr>
        <w:t>〕</w:t>
      </w:r>
      <w:r>
        <w:rPr>
          <w:rFonts w:ascii="Times New Roman" w:hAnsi="Times New Roman" w:cs="Times New Roman"/>
          <w:kern w:val="0"/>
          <w:szCs w:val="28"/>
        </w:rPr>
        <w:t>56</w:t>
      </w:r>
      <w:r>
        <w:rPr>
          <w:rFonts w:hint="eastAsia" w:ascii="Times New Roman" w:hAnsi="Times New Roman" w:cs="Times New Roman"/>
          <w:kern w:val="0"/>
          <w:szCs w:val="28"/>
        </w:rPr>
        <w:t>号）；</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《黑龙江省省级生态县（市、区）创建考核标准（试行）》；</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《中共黑龙江省委关于制定黑龙江省国民经济和社会发展第十二个五年规划的建议》（2010年）；</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《黑龙江省生态省建设规划纲要》（2001年）；</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《黑龙江省生态功能区划》（2004年）；</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《生态功能区划暂行规程》（2005年）；</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《黑龙江省循环经济发展规划纲要》（2007年）；</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《黑龙江省主体功能区规划》（2010年）；</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《黑龙江省生态省建设“十一五”规划》（2007年）；</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《黑龙江省国民经济和社会发展第十三个五年规划纲要》</w:t>
      </w:r>
      <w:bookmarkStart w:id="245" w:name="_Hlk73381514"/>
      <w:r>
        <w:rPr>
          <w:rFonts w:hint="eastAsia" w:ascii="Times New Roman" w:hAnsi="Times New Roman" w:cs="Times New Roman"/>
          <w:kern w:val="0"/>
          <w:szCs w:val="28"/>
        </w:rPr>
        <w:t>；</w:t>
      </w:r>
      <w:bookmarkEnd w:id="245"/>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《抚远市城市总体规划》；</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《抚远市国民经济和社会发展第十三个五年规划纲要》；</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《抚远市环境保护十二五规划》；</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《抚远市水利发展十二五规划》；</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《抚远市畜牧局十二五规划》；</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《抚远市旅游局十二五规划》；</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《抚远市农业局十二五规划》；</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《抚远市林业局十二五规划》；</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《抚远市工业局十二五规划》</w:t>
      </w:r>
    </w:p>
    <w:p>
      <w:pPr>
        <w:widowControl/>
        <w:spacing w:line="240" w:lineRule="auto"/>
        <w:ind w:firstLine="0" w:firstLineChars="0"/>
        <w:jc w:val="left"/>
        <w:rPr>
          <w:rFonts w:ascii="宋体" w:hAnsi="宋体" w:cs="黑体"/>
          <w:b/>
          <w:bCs/>
          <w:sz w:val="32"/>
          <w:szCs w:val="32"/>
        </w:rPr>
      </w:pPr>
      <w:bookmarkStart w:id="246" w:name="_Toc77349632"/>
      <w:bookmarkStart w:id="247" w:name="_Toc6715"/>
      <w:bookmarkStart w:id="248" w:name="_Toc77601173"/>
      <w:bookmarkStart w:id="249" w:name="OLE_LINK11"/>
      <w:bookmarkStart w:id="250" w:name="_Toc77601355"/>
      <w:r>
        <w:rPr>
          <w:rFonts w:ascii="宋体" w:hAnsi="宋体" w:cs="黑体"/>
          <w:b/>
          <w:bCs/>
          <w:sz w:val="32"/>
          <w:szCs w:val="32"/>
        </w:rPr>
        <w:br w:type="page"/>
      </w:r>
    </w:p>
    <w:p>
      <w:pPr>
        <w:widowControl/>
        <w:shd w:val="clear" w:color="auto" w:fill="FFFFFF"/>
        <w:adjustRightInd w:val="0"/>
        <w:snapToGrid w:val="0"/>
        <w:spacing w:after="217" w:afterLines="50" w:line="600" w:lineRule="exact"/>
        <w:ind w:firstLine="0" w:firstLineChars="0"/>
        <w:outlineLvl w:val="2"/>
        <w:rPr>
          <w:rFonts w:ascii="宋体" w:hAnsi="宋体" w:cs="黑体"/>
          <w:b/>
          <w:bCs/>
          <w:sz w:val="32"/>
          <w:szCs w:val="32"/>
        </w:rPr>
      </w:pPr>
      <w:r>
        <w:rPr>
          <w:rFonts w:hint="eastAsia" w:ascii="宋体" w:hAnsi="宋体" w:cs="黑体"/>
          <w:b/>
          <w:bCs/>
          <w:sz w:val="32"/>
          <w:szCs w:val="32"/>
        </w:rPr>
        <w:t>4 规划编制技术线图</w:t>
      </w:r>
      <w:bookmarkEnd w:id="246"/>
      <w:bookmarkEnd w:id="247"/>
      <w:bookmarkEnd w:id="248"/>
      <w:bookmarkEnd w:id="249"/>
      <w:bookmarkEnd w:id="250"/>
    </w:p>
    <w:p>
      <w:pPr>
        <w:ind w:firstLine="420"/>
      </w:pPr>
      <w:r>
        <w:rPr>
          <w:rFonts w:cs="Times New Roman"/>
          <w:sz w:val="21"/>
        </w:rPr>
        <w:drawing>
          <wp:inline distT="0" distB="0" distL="114300" distR="114300">
            <wp:extent cx="5020945" cy="4669155"/>
            <wp:effectExtent l="0" t="0" r="9525" b="0"/>
            <wp:docPr id="9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2"/>
                    <pic:cNvPicPr>
                      <a:picLocks noChangeAspect="1"/>
                    </pic:cNvPicPr>
                  </pic:nvPicPr>
                  <pic:blipFill>
                    <a:blip r:embed="rId14" cstate="print"/>
                    <a:stretch>
                      <a:fillRect/>
                    </a:stretch>
                  </pic:blipFill>
                  <pic:spPr>
                    <a:xfrm>
                      <a:off x="0" y="0"/>
                      <a:ext cx="5020945" cy="4669155"/>
                    </a:xfrm>
                    <a:prstGeom prst="rect">
                      <a:avLst/>
                    </a:prstGeom>
                    <a:noFill/>
                    <a:ln>
                      <a:noFill/>
                    </a:ln>
                  </pic:spPr>
                </pic:pic>
              </a:graphicData>
            </a:graphic>
          </wp:inline>
        </w:drawing>
      </w:r>
    </w:p>
    <w:p>
      <w:pPr>
        <w:ind w:firstLine="560"/>
      </w:pPr>
    </w:p>
    <w:p>
      <w:pPr>
        <w:pStyle w:val="4"/>
      </w:pPr>
      <w:bookmarkStart w:id="251" w:name="_Toc31343"/>
      <w:bookmarkStart w:id="252" w:name="_Toc77601174"/>
      <w:bookmarkStart w:id="253" w:name="_Toc77601356"/>
      <w:bookmarkStart w:id="254" w:name="_Toc77349633"/>
      <w:bookmarkStart w:id="255" w:name="_Toc911216997_WPSOffice_Level2"/>
      <w:bookmarkStart w:id="256" w:name="_Toc1119455304_WPSOffice_Level2"/>
      <w:bookmarkStart w:id="257" w:name="_Toc77600840"/>
      <w:bookmarkStart w:id="258" w:name="_Toc73003391"/>
      <w:bookmarkStart w:id="259" w:name="_Toc74642380"/>
      <w:r>
        <w:t>第四节</w:t>
      </w:r>
      <w:r>
        <w:rPr>
          <w:rFonts w:hint="eastAsia"/>
        </w:rPr>
        <w:t xml:space="preserve">  </w:t>
      </w:r>
      <w:r>
        <w:t>规划目标与指标</w:t>
      </w:r>
      <w:bookmarkEnd w:id="251"/>
      <w:bookmarkEnd w:id="252"/>
      <w:bookmarkEnd w:id="253"/>
      <w:bookmarkEnd w:id="254"/>
      <w:bookmarkEnd w:id="255"/>
      <w:bookmarkEnd w:id="256"/>
      <w:bookmarkEnd w:id="257"/>
    </w:p>
    <w:bookmarkEnd w:id="258"/>
    <w:bookmarkEnd w:id="259"/>
    <w:p>
      <w:pPr>
        <w:pStyle w:val="5"/>
      </w:pPr>
      <w:bookmarkStart w:id="260" w:name="_Toc1077890884_WPSOffice_Level3"/>
      <w:bookmarkStart w:id="261" w:name="_Toc77601357"/>
      <w:bookmarkStart w:id="262" w:name="_Toc77601175"/>
      <w:bookmarkStart w:id="263" w:name="_Toc31206"/>
      <w:bookmarkStart w:id="264" w:name="_Toc2146047021_WPSOffice_Level3"/>
      <w:bookmarkStart w:id="265" w:name="_Toc77349634"/>
      <w:r>
        <w:t>一、规划目标</w:t>
      </w:r>
      <w:bookmarkEnd w:id="260"/>
      <w:bookmarkEnd w:id="261"/>
      <w:bookmarkEnd w:id="262"/>
      <w:bookmarkEnd w:id="263"/>
      <w:bookmarkEnd w:id="264"/>
      <w:bookmarkEnd w:id="265"/>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根据国家、黑龙江省十四五环保规划总体目标，结合抚远市实际情况制定本规划总体目标。探索实践抚远市绿色循环低发展的新模式，建立完善的环境保护管理体系，确立生态文明制度体系，发展绿色环保创新技术。加强对俄经贸合作和实行开放型经济发展，全面建成小康社会，提升人居环境，通过34项重点工程，加快抚远市特色化建设，努力建成“山青、水绿、天蓝、地净”和国际化商旅名城。</w:t>
      </w:r>
    </w:p>
    <w:p>
      <w:pPr>
        <w:pStyle w:val="5"/>
      </w:pPr>
      <w:bookmarkStart w:id="266" w:name="_Toc77349635"/>
      <w:bookmarkStart w:id="267" w:name="_Toc1624430582_WPSOffice_Level3"/>
      <w:bookmarkStart w:id="268" w:name="_Toc15738"/>
      <w:bookmarkStart w:id="269" w:name="_Toc77601358"/>
      <w:bookmarkStart w:id="270" w:name="_Toc77601176"/>
      <w:bookmarkStart w:id="271" w:name="_Toc2087524943_WPSOffice_Level3"/>
      <w:r>
        <w:t>二、规划指标</w:t>
      </w:r>
      <w:bookmarkEnd w:id="266"/>
      <w:bookmarkEnd w:id="267"/>
      <w:bookmarkEnd w:id="268"/>
      <w:bookmarkEnd w:id="269"/>
      <w:bookmarkEnd w:id="270"/>
      <w:bookmarkEnd w:id="271"/>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以建设抚远市稳定持久的生态安全体系及划定生态保护红线为目标，通过生态服务价值估算及生态承载力分析，按照《国家生态文明建设示范县、市指标（试行）》，建立自然保护区、风景名胜区、森林公园、饮用水源地保护区，使抚远市重要的自然生态地域得到保护，以满足生态流的畅通，增加受保护地域面积，提高抚远市风险抵御能力，构建高质量的生态安全体系。抚远市共建立32项指标，其中约束性指标20项，参考性指标12项。目前，已有19项指标达到标准，包括生态环境信息公开率、危险废物利用处置率、农膜回收利用率、一般工业固体废物综合利用率、集中式饮用水水源地水质优良比例、村镇饮用水卫生合格率等；有13项指标与标准还有一定差距，包括农业废弃物综合利用率秸秆综合利用率、畜禽粪污综合利用率、城镇污水处理率、城镇生活垃圾无害化处理率、农村无害化卫生厕所普及率、城镇新建绿色建筑比例等，需重点攻克。</w:t>
      </w:r>
    </w:p>
    <w:p>
      <w:pPr>
        <w:adjustRightInd w:val="0"/>
        <w:ind w:firstLine="560"/>
        <w:textAlignment w:val="baseline"/>
        <w:rPr>
          <w:rFonts w:ascii="Times New Roman" w:hAnsi="Times New Roman" w:cs="Times New Roman"/>
          <w:kern w:val="0"/>
          <w:szCs w:val="28"/>
        </w:rPr>
        <w:sectPr>
          <w:footerReference r:id="rId11" w:type="default"/>
          <w:pgSz w:w="11906" w:h="16838"/>
          <w:pgMar w:top="1440" w:right="1800" w:bottom="1440" w:left="1800" w:header="851" w:footer="992" w:gutter="0"/>
          <w:pgNumType w:start="1"/>
          <w:cols w:space="425" w:num="1"/>
          <w:docGrid w:type="lines" w:linePitch="435" w:charSpace="0"/>
        </w:sectPr>
      </w:pPr>
      <w:r>
        <w:rPr>
          <w:rFonts w:hint="eastAsia" w:ascii="Times New Roman" w:hAnsi="Times New Roman" w:cs="Times New Roman"/>
          <w:kern w:val="0"/>
          <w:szCs w:val="28"/>
        </w:rPr>
        <w:t>抚远市国家生态文明建设示范市建设指标：</w:t>
      </w:r>
    </w:p>
    <w:p>
      <w:pPr>
        <w:ind w:firstLine="560"/>
        <w:jc w:val="center"/>
        <w:rPr>
          <w:rFonts w:ascii="Times New Roman" w:hAnsi="Times New Roman" w:cs="Times New Roman"/>
          <w:szCs w:val="32"/>
        </w:rPr>
      </w:pPr>
      <w:bookmarkStart w:id="272" w:name="_Hlk73985145"/>
      <w:r>
        <w:rPr>
          <w:rFonts w:ascii="Times New Roman" w:hAnsi="Times New Roman" w:cs="Times New Roman"/>
          <w:szCs w:val="32"/>
        </w:rPr>
        <w:t>抚远市国家生态文明建设示范市建设指标</w:t>
      </w:r>
    </w:p>
    <w:tbl>
      <w:tblPr>
        <w:tblStyle w:val="48"/>
        <w:tblW w:w="13637"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596"/>
        <w:gridCol w:w="767"/>
        <w:gridCol w:w="805"/>
        <w:gridCol w:w="3194"/>
        <w:gridCol w:w="1016"/>
        <w:gridCol w:w="1480"/>
        <w:gridCol w:w="988"/>
        <w:gridCol w:w="1016"/>
        <w:gridCol w:w="1327"/>
        <w:gridCol w:w="1135"/>
        <w:gridCol w:w="13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13" w:hRule="atLeast"/>
          <w:jc w:val="center"/>
        </w:trPr>
        <w:tc>
          <w:tcPr>
            <w:tcW w:w="596" w:type="dxa"/>
            <w:tcBorders>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领域</w:t>
            </w:r>
          </w:p>
        </w:tc>
        <w:tc>
          <w:tcPr>
            <w:tcW w:w="767" w:type="dxa"/>
            <w:tcBorders>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任务</w:t>
            </w:r>
          </w:p>
        </w:tc>
        <w:tc>
          <w:tcPr>
            <w:tcW w:w="805" w:type="dxa"/>
            <w:tcBorders>
              <w:left w:val="single" w:color="000000" w:sz="4" w:space="0"/>
              <w:bottom w:val="single" w:color="000000" w:sz="4" w:space="0"/>
              <w:right w:val="single" w:color="000000" w:sz="4" w:space="0"/>
            </w:tcBorders>
            <w:vAlign w:val="center"/>
          </w:tcPr>
          <w:p>
            <w:pPr>
              <w:spacing w:line="240" w:lineRule="auto"/>
              <w:ind w:right="16"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序号</w:t>
            </w:r>
          </w:p>
        </w:tc>
        <w:tc>
          <w:tcPr>
            <w:tcW w:w="3194" w:type="dxa"/>
            <w:tcBorders>
              <w:left w:val="single" w:color="000000" w:sz="4" w:space="0"/>
              <w:bottom w:val="single" w:color="000000" w:sz="4" w:space="0"/>
              <w:right w:val="single" w:color="000000" w:sz="4" w:space="0"/>
            </w:tcBorders>
            <w:vAlign w:val="center"/>
          </w:tcPr>
          <w:p>
            <w:pPr>
              <w:spacing w:line="240" w:lineRule="auto"/>
              <w:ind w:right="1067" w:firstLine="420"/>
              <w:jc w:val="center"/>
              <w:rPr>
                <w:rFonts w:ascii="Times New Roman" w:hAnsi="Times New Roman" w:cs="Times New Roman"/>
                <w:kern w:val="0"/>
                <w:sz w:val="21"/>
                <w:szCs w:val="21"/>
              </w:rPr>
            </w:pPr>
            <w:r>
              <w:rPr>
                <w:rFonts w:ascii="Times New Roman" w:hAnsi="Times New Roman" w:cs="Times New Roman"/>
                <w:kern w:val="0"/>
                <w:sz w:val="21"/>
                <w:szCs w:val="21"/>
              </w:rPr>
              <w:t>指标名称</w:t>
            </w:r>
          </w:p>
        </w:tc>
        <w:tc>
          <w:tcPr>
            <w:tcW w:w="1016" w:type="dxa"/>
            <w:tcBorders>
              <w:left w:val="single" w:color="000000" w:sz="4" w:space="0"/>
              <w:bottom w:val="single" w:color="000000" w:sz="4" w:space="0"/>
              <w:right w:val="single" w:color="000000" w:sz="4" w:space="0"/>
            </w:tcBorders>
            <w:vAlign w:val="center"/>
          </w:tcPr>
          <w:p>
            <w:pPr>
              <w:spacing w:line="240" w:lineRule="auto"/>
              <w:ind w:right="4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单位</w:t>
            </w:r>
          </w:p>
        </w:tc>
        <w:tc>
          <w:tcPr>
            <w:tcW w:w="1480" w:type="dxa"/>
            <w:tcBorders>
              <w:left w:val="single" w:color="000000" w:sz="4" w:space="0"/>
              <w:bottom w:val="single" w:color="000000" w:sz="4" w:space="0"/>
              <w:right w:val="single" w:color="000000" w:sz="4" w:space="0"/>
            </w:tcBorders>
            <w:vAlign w:val="center"/>
          </w:tcPr>
          <w:p>
            <w:pPr>
              <w:spacing w:line="240" w:lineRule="auto"/>
              <w:ind w:right="1" w:firstLine="199" w:firstLineChars="95"/>
              <w:jc w:val="center"/>
              <w:rPr>
                <w:rFonts w:ascii="Times New Roman" w:hAnsi="Times New Roman" w:cs="Times New Roman"/>
                <w:kern w:val="0"/>
                <w:sz w:val="21"/>
                <w:szCs w:val="21"/>
              </w:rPr>
            </w:pPr>
            <w:r>
              <w:rPr>
                <w:rFonts w:ascii="Times New Roman" w:hAnsi="Times New Roman" w:cs="Times New Roman"/>
                <w:kern w:val="0"/>
                <w:sz w:val="21"/>
                <w:szCs w:val="21"/>
              </w:rPr>
              <w:t>指标值</w:t>
            </w:r>
          </w:p>
        </w:tc>
        <w:tc>
          <w:tcPr>
            <w:tcW w:w="988" w:type="dxa"/>
            <w:tcBorders>
              <w:left w:val="single" w:color="000000" w:sz="4" w:space="0"/>
              <w:bottom w:val="single" w:color="000000" w:sz="4" w:space="0"/>
              <w:right w:val="single" w:color="000000" w:sz="4" w:space="0"/>
            </w:tcBorders>
            <w:vAlign w:val="center"/>
          </w:tcPr>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指标属性</w:t>
            </w:r>
          </w:p>
        </w:tc>
        <w:tc>
          <w:tcPr>
            <w:tcW w:w="1016" w:type="dxa"/>
            <w:tcBorders>
              <w:left w:val="single" w:color="000000" w:sz="4" w:space="0"/>
              <w:bottom w:val="single" w:color="000000" w:sz="4" w:space="0"/>
            </w:tcBorders>
            <w:vAlign w:val="center"/>
          </w:tcPr>
          <w:p>
            <w:pPr>
              <w:spacing w:line="240" w:lineRule="auto"/>
              <w:ind w:right="41"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适用范围</w:t>
            </w:r>
          </w:p>
        </w:tc>
        <w:tc>
          <w:tcPr>
            <w:tcW w:w="1327" w:type="dxa"/>
            <w:tcBorders>
              <w:left w:val="single" w:color="000000" w:sz="4" w:space="0"/>
              <w:bottom w:val="single" w:color="000000" w:sz="4" w:space="0"/>
            </w:tcBorders>
            <w:vAlign w:val="center"/>
          </w:tcPr>
          <w:p>
            <w:pPr>
              <w:spacing w:line="240" w:lineRule="auto"/>
              <w:ind w:right="41"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基准年（2019）</w:t>
            </w:r>
          </w:p>
        </w:tc>
        <w:tc>
          <w:tcPr>
            <w:tcW w:w="1135" w:type="dxa"/>
            <w:tcBorders>
              <w:left w:val="single" w:color="000000" w:sz="4" w:space="0"/>
              <w:bottom w:val="single" w:color="000000" w:sz="4" w:space="0"/>
            </w:tcBorders>
            <w:vAlign w:val="center"/>
          </w:tcPr>
          <w:p>
            <w:pPr>
              <w:spacing w:line="240" w:lineRule="auto"/>
              <w:ind w:right="41"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中间年（2022）</w:t>
            </w:r>
          </w:p>
        </w:tc>
        <w:tc>
          <w:tcPr>
            <w:tcW w:w="1313" w:type="dxa"/>
            <w:tcBorders>
              <w:left w:val="single" w:color="000000" w:sz="4" w:space="0"/>
              <w:bottom w:val="single" w:color="000000" w:sz="4" w:space="0"/>
            </w:tcBorders>
            <w:vAlign w:val="center"/>
          </w:tcPr>
          <w:p>
            <w:pPr>
              <w:spacing w:line="240" w:lineRule="auto"/>
              <w:ind w:right="41"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达标年（2025）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13" w:hRule="atLeast"/>
          <w:jc w:val="center"/>
        </w:trPr>
        <w:tc>
          <w:tcPr>
            <w:tcW w:w="596" w:type="dxa"/>
            <w:vMerge w:val="restart"/>
            <w:tcBorders>
              <w:top w:val="single" w:color="000000" w:sz="4" w:space="0"/>
              <w:bottom w:val="single" w:color="000000" w:sz="4" w:space="0"/>
              <w:right w:val="single" w:color="000000" w:sz="4" w:space="0"/>
            </w:tcBorders>
            <w:vAlign w:val="center"/>
          </w:tcPr>
          <w:p>
            <w:pPr>
              <w:spacing w:line="240" w:lineRule="auto"/>
              <w:ind w:right="16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生生态制度</w:t>
            </w:r>
          </w:p>
        </w:tc>
        <w:tc>
          <w:tcPr>
            <w:tcW w:w="767"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ind w:right="45"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（一） 目标责任体系与制度建设</w:t>
            </w:r>
          </w:p>
        </w:tc>
        <w:tc>
          <w:tcPr>
            <w:tcW w:w="80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1</w:t>
            </w:r>
          </w:p>
        </w:tc>
        <w:tc>
          <w:tcPr>
            <w:tcW w:w="319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生态文明建设规划</w:t>
            </w:r>
          </w:p>
        </w:tc>
        <w:tc>
          <w:tcPr>
            <w:tcW w:w="101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1"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制定实施</w:t>
            </w:r>
          </w:p>
        </w:tc>
        <w:tc>
          <w:tcPr>
            <w:tcW w:w="988"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约束性</w:t>
            </w:r>
          </w:p>
        </w:tc>
        <w:tc>
          <w:tcPr>
            <w:tcW w:w="1016" w:type="dxa"/>
            <w:tcBorders>
              <w:top w:val="single" w:color="000000" w:sz="4" w:space="0"/>
              <w:left w:val="single" w:color="000000" w:sz="4" w:space="0"/>
              <w:bottom w:val="single" w:color="000000" w:sz="4" w:space="0"/>
            </w:tcBorders>
            <w:vAlign w:val="center"/>
          </w:tcPr>
          <w:p>
            <w:pPr>
              <w:spacing w:line="240" w:lineRule="auto"/>
              <w:ind w:right="3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市县</w:t>
            </w:r>
          </w:p>
        </w:tc>
        <w:tc>
          <w:tcPr>
            <w:tcW w:w="1327" w:type="dxa"/>
            <w:tcBorders>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制定实施</w:t>
            </w:r>
          </w:p>
        </w:tc>
        <w:tc>
          <w:tcPr>
            <w:tcW w:w="1135" w:type="dxa"/>
            <w:tcBorders>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制定实施</w:t>
            </w:r>
          </w:p>
        </w:tc>
        <w:tc>
          <w:tcPr>
            <w:tcW w:w="1313" w:type="dxa"/>
            <w:tcBorders>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制定实施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4" w:hRule="atLeast"/>
          <w:jc w:val="center"/>
        </w:trPr>
        <w:tc>
          <w:tcPr>
            <w:tcW w:w="596" w:type="dxa"/>
            <w:vMerge w:val="continue"/>
            <w:tcBorders>
              <w:top w:val="nil"/>
              <w:bottom w:val="single" w:color="000000" w:sz="4" w:space="0"/>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767" w:type="dxa"/>
            <w:vMerge w:val="continue"/>
            <w:tcBorders>
              <w:top w:val="nil"/>
              <w:left w:val="single" w:color="000000" w:sz="4" w:space="0"/>
              <w:bottom w:val="single" w:color="000000" w:sz="4" w:space="0"/>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80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2</w:t>
            </w:r>
          </w:p>
        </w:tc>
        <w:tc>
          <w:tcPr>
            <w:tcW w:w="3194"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77"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党委政府对生态文明建设重大目标任务部署情况</w:t>
            </w:r>
          </w:p>
        </w:tc>
        <w:tc>
          <w:tcPr>
            <w:tcW w:w="101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1"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有效开展</w:t>
            </w:r>
          </w:p>
        </w:tc>
        <w:tc>
          <w:tcPr>
            <w:tcW w:w="988"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约束性</w:t>
            </w:r>
          </w:p>
        </w:tc>
        <w:tc>
          <w:tcPr>
            <w:tcW w:w="1016" w:type="dxa"/>
            <w:tcBorders>
              <w:top w:val="single" w:color="000000" w:sz="4" w:space="0"/>
              <w:left w:val="single" w:color="000000" w:sz="4" w:space="0"/>
              <w:bottom w:val="single" w:color="000000" w:sz="4" w:space="0"/>
            </w:tcBorders>
            <w:vAlign w:val="center"/>
          </w:tcPr>
          <w:p>
            <w:pPr>
              <w:spacing w:line="240" w:lineRule="auto"/>
              <w:ind w:right="3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市县</w:t>
            </w:r>
          </w:p>
        </w:tc>
        <w:tc>
          <w:tcPr>
            <w:tcW w:w="1327" w:type="dxa"/>
            <w:tcBorders>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有效开展</w:t>
            </w:r>
          </w:p>
        </w:tc>
        <w:tc>
          <w:tcPr>
            <w:tcW w:w="1135" w:type="dxa"/>
            <w:tcBorders>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有效开展</w:t>
            </w:r>
          </w:p>
        </w:tc>
        <w:tc>
          <w:tcPr>
            <w:tcW w:w="1313" w:type="dxa"/>
            <w:tcBorders>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有效开展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75" w:hRule="atLeast"/>
          <w:jc w:val="center"/>
        </w:trPr>
        <w:tc>
          <w:tcPr>
            <w:tcW w:w="596" w:type="dxa"/>
            <w:vMerge w:val="continue"/>
            <w:tcBorders>
              <w:top w:val="nil"/>
              <w:bottom w:val="single" w:color="000000" w:sz="4" w:space="0"/>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767" w:type="dxa"/>
            <w:vMerge w:val="continue"/>
            <w:tcBorders>
              <w:top w:val="nil"/>
              <w:left w:val="single" w:color="000000" w:sz="4" w:space="0"/>
              <w:bottom w:val="single" w:color="000000" w:sz="4" w:space="0"/>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80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3</w:t>
            </w:r>
          </w:p>
        </w:tc>
        <w:tc>
          <w:tcPr>
            <w:tcW w:w="3194"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77"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生态文明建设工作占党政实绩考核的比例</w:t>
            </w:r>
          </w:p>
        </w:tc>
        <w:tc>
          <w:tcPr>
            <w:tcW w:w="101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1"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≥20</w:t>
            </w:r>
          </w:p>
        </w:tc>
        <w:tc>
          <w:tcPr>
            <w:tcW w:w="988"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约束性</w:t>
            </w:r>
          </w:p>
        </w:tc>
        <w:tc>
          <w:tcPr>
            <w:tcW w:w="1016" w:type="dxa"/>
            <w:tcBorders>
              <w:top w:val="single" w:color="000000" w:sz="4" w:space="0"/>
              <w:left w:val="single" w:color="000000" w:sz="4" w:space="0"/>
              <w:bottom w:val="single" w:color="000000" w:sz="4" w:space="0"/>
            </w:tcBorders>
            <w:vAlign w:val="center"/>
          </w:tcPr>
          <w:p>
            <w:pPr>
              <w:spacing w:line="240" w:lineRule="auto"/>
              <w:ind w:right="3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市县</w:t>
            </w:r>
          </w:p>
        </w:tc>
        <w:tc>
          <w:tcPr>
            <w:tcW w:w="1327" w:type="dxa"/>
            <w:tcBorders>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w:t>
            </w:r>
          </w:p>
        </w:tc>
        <w:tc>
          <w:tcPr>
            <w:tcW w:w="1135" w:type="dxa"/>
            <w:tcBorders>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15%</w:t>
            </w:r>
          </w:p>
        </w:tc>
        <w:tc>
          <w:tcPr>
            <w:tcW w:w="1313" w:type="dxa"/>
            <w:tcBorders>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13" w:hRule="atLeast"/>
          <w:jc w:val="center"/>
        </w:trPr>
        <w:tc>
          <w:tcPr>
            <w:tcW w:w="596" w:type="dxa"/>
            <w:vMerge w:val="continue"/>
            <w:tcBorders>
              <w:top w:val="nil"/>
              <w:bottom w:val="single" w:color="000000" w:sz="4" w:space="0"/>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767" w:type="dxa"/>
            <w:vMerge w:val="continue"/>
            <w:tcBorders>
              <w:top w:val="nil"/>
              <w:left w:val="single" w:color="000000" w:sz="4" w:space="0"/>
              <w:bottom w:val="single" w:color="000000" w:sz="4" w:space="0"/>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80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4</w:t>
            </w:r>
          </w:p>
        </w:tc>
        <w:tc>
          <w:tcPr>
            <w:tcW w:w="319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河长制</w:t>
            </w:r>
          </w:p>
        </w:tc>
        <w:tc>
          <w:tcPr>
            <w:tcW w:w="101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1"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全面实施</w:t>
            </w:r>
          </w:p>
        </w:tc>
        <w:tc>
          <w:tcPr>
            <w:tcW w:w="988"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约束性</w:t>
            </w:r>
          </w:p>
        </w:tc>
        <w:tc>
          <w:tcPr>
            <w:tcW w:w="1016" w:type="dxa"/>
            <w:tcBorders>
              <w:top w:val="single" w:color="000000" w:sz="4" w:space="0"/>
              <w:left w:val="single" w:color="000000" w:sz="4" w:space="0"/>
              <w:bottom w:val="single" w:color="000000" w:sz="4" w:space="0"/>
            </w:tcBorders>
            <w:vAlign w:val="center"/>
          </w:tcPr>
          <w:p>
            <w:pPr>
              <w:spacing w:line="240" w:lineRule="auto"/>
              <w:ind w:right="3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市县</w:t>
            </w:r>
          </w:p>
        </w:tc>
        <w:tc>
          <w:tcPr>
            <w:tcW w:w="1327"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全面实施</w:t>
            </w:r>
          </w:p>
        </w:tc>
        <w:tc>
          <w:tcPr>
            <w:tcW w:w="1135" w:type="dxa"/>
            <w:tcBorders>
              <w:top w:val="single" w:color="000000" w:sz="4" w:space="0"/>
              <w:left w:val="single" w:color="000000" w:sz="4" w:space="0"/>
              <w:bottom w:val="single" w:color="000000" w:sz="4" w:space="0"/>
            </w:tcBorders>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全面实施</w:t>
            </w:r>
          </w:p>
        </w:tc>
        <w:tc>
          <w:tcPr>
            <w:tcW w:w="1313" w:type="dxa"/>
            <w:tcBorders>
              <w:top w:val="single" w:color="000000" w:sz="4" w:space="0"/>
              <w:left w:val="single" w:color="000000" w:sz="4" w:space="0"/>
              <w:bottom w:val="single" w:color="000000" w:sz="4" w:space="0"/>
            </w:tcBorders>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全面实施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12" w:hRule="atLeast"/>
          <w:jc w:val="center"/>
        </w:trPr>
        <w:tc>
          <w:tcPr>
            <w:tcW w:w="596" w:type="dxa"/>
            <w:vMerge w:val="continue"/>
            <w:tcBorders>
              <w:top w:val="nil"/>
              <w:bottom w:val="single" w:color="000000" w:sz="4" w:space="0"/>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767" w:type="dxa"/>
            <w:vMerge w:val="continue"/>
            <w:tcBorders>
              <w:top w:val="nil"/>
              <w:left w:val="single" w:color="000000" w:sz="4" w:space="0"/>
              <w:bottom w:val="single" w:color="000000" w:sz="4" w:space="0"/>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80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5</w:t>
            </w:r>
          </w:p>
        </w:tc>
        <w:tc>
          <w:tcPr>
            <w:tcW w:w="319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生态环境信息公开率</w:t>
            </w:r>
          </w:p>
        </w:tc>
        <w:tc>
          <w:tcPr>
            <w:tcW w:w="101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1"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w:t>
            </w:r>
          </w:p>
        </w:tc>
        <w:tc>
          <w:tcPr>
            <w:tcW w:w="988"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约束性</w:t>
            </w:r>
          </w:p>
        </w:tc>
        <w:tc>
          <w:tcPr>
            <w:tcW w:w="1016" w:type="dxa"/>
            <w:tcBorders>
              <w:top w:val="single" w:color="000000" w:sz="4" w:space="0"/>
              <w:left w:val="single" w:color="000000" w:sz="4" w:space="0"/>
              <w:bottom w:val="single" w:color="000000" w:sz="4" w:space="0"/>
            </w:tcBorders>
            <w:vAlign w:val="center"/>
          </w:tcPr>
          <w:p>
            <w:pPr>
              <w:spacing w:line="240" w:lineRule="auto"/>
              <w:ind w:right="3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市县</w:t>
            </w:r>
          </w:p>
        </w:tc>
        <w:tc>
          <w:tcPr>
            <w:tcW w:w="1327" w:type="dxa"/>
            <w:tcBorders>
              <w:top w:val="single" w:color="000000" w:sz="4" w:space="0"/>
              <w:left w:val="single" w:color="000000" w:sz="4" w:space="0"/>
              <w:bottom w:val="single" w:color="000000" w:sz="4" w:space="0"/>
            </w:tcBorders>
            <w:vAlign w:val="center"/>
          </w:tcPr>
          <w:p>
            <w:pPr>
              <w:spacing w:line="240" w:lineRule="auto"/>
              <w:ind w:right="3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w:t>
            </w:r>
            <w:r>
              <w:rPr>
                <w:rFonts w:ascii="Times New Roman" w:hAnsi="Times New Roman" w:cs="Times New Roman"/>
                <w:w w:val="99"/>
                <w:kern w:val="0"/>
                <w:sz w:val="21"/>
                <w:szCs w:val="21"/>
              </w:rPr>
              <w:t>%</w:t>
            </w:r>
          </w:p>
        </w:tc>
        <w:tc>
          <w:tcPr>
            <w:tcW w:w="1135"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w:t>
            </w:r>
          </w:p>
        </w:tc>
        <w:tc>
          <w:tcPr>
            <w:tcW w:w="1313"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97" w:hRule="atLeast"/>
          <w:jc w:val="center"/>
        </w:trPr>
        <w:tc>
          <w:tcPr>
            <w:tcW w:w="596" w:type="dxa"/>
            <w:vMerge w:val="continue"/>
            <w:tcBorders>
              <w:top w:val="nil"/>
              <w:bottom w:val="single" w:color="000000" w:sz="4" w:space="0"/>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767" w:type="dxa"/>
            <w:vMerge w:val="continue"/>
            <w:tcBorders>
              <w:top w:val="nil"/>
              <w:left w:val="single" w:color="000000" w:sz="4" w:space="0"/>
              <w:bottom w:val="single" w:color="000000" w:sz="4" w:space="0"/>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80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6</w:t>
            </w:r>
          </w:p>
        </w:tc>
        <w:tc>
          <w:tcPr>
            <w:tcW w:w="319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依法开展规划环境影响评价</w:t>
            </w:r>
          </w:p>
        </w:tc>
        <w:tc>
          <w:tcPr>
            <w:tcW w:w="101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455"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 xml:space="preserve">市：100 </w:t>
            </w:r>
            <w:r>
              <w:rPr>
                <w:rFonts w:ascii="Times New Roman" w:hAnsi="Times New Roman" w:cs="Times New Roman"/>
                <w:kern w:val="0"/>
                <w:sz w:val="21"/>
                <w:szCs w:val="21"/>
              </w:rPr>
              <w:br w:type="textWrapping"/>
            </w:r>
            <w:r>
              <w:rPr>
                <w:rFonts w:ascii="Times New Roman" w:hAnsi="Times New Roman" w:cs="Times New Roman"/>
                <w:kern w:val="0"/>
                <w:sz w:val="21"/>
                <w:szCs w:val="21"/>
              </w:rPr>
              <w:t>县：开展</w:t>
            </w:r>
          </w:p>
        </w:tc>
        <w:tc>
          <w:tcPr>
            <w:tcW w:w="988"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15" w:firstLine="0" w:firstLineChars="0"/>
              <w:jc w:val="center"/>
              <w:rPr>
                <w:rFonts w:ascii="Times New Roman" w:hAnsi="Times New Roman" w:cs="Times New Roman"/>
                <w:kern w:val="0"/>
                <w:sz w:val="21"/>
                <w:szCs w:val="21"/>
              </w:rPr>
            </w:pPr>
            <w:r>
              <w:rPr>
                <w:rFonts w:ascii="Times New Roman" w:hAnsi="Times New Roman" w:cs="Times New Roman"/>
                <w:spacing w:val="-22"/>
                <w:kern w:val="0"/>
                <w:sz w:val="21"/>
                <w:szCs w:val="21"/>
              </w:rPr>
              <w:t>市：约束性县：参考性</w:t>
            </w:r>
          </w:p>
        </w:tc>
        <w:tc>
          <w:tcPr>
            <w:tcW w:w="1016" w:type="dxa"/>
            <w:tcBorders>
              <w:top w:val="single" w:color="000000" w:sz="4" w:space="0"/>
              <w:left w:val="single" w:color="000000" w:sz="4" w:space="0"/>
              <w:bottom w:val="single" w:color="000000" w:sz="4" w:space="0"/>
            </w:tcBorders>
            <w:vAlign w:val="center"/>
          </w:tcPr>
          <w:p>
            <w:pPr>
              <w:spacing w:line="240" w:lineRule="auto"/>
              <w:ind w:right="3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市县</w:t>
            </w:r>
          </w:p>
        </w:tc>
        <w:tc>
          <w:tcPr>
            <w:tcW w:w="1327"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开展</w:t>
            </w:r>
          </w:p>
        </w:tc>
        <w:tc>
          <w:tcPr>
            <w:tcW w:w="1135"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开展</w:t>
            </w:r>
          </w:p>
        </w:tc>
        <w:tc>
          <w:tcPr>
            <w:tcW w:w="1313"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开展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56" w:hRule="atLeast"/>
          <w:jc w:val="center"/>
        </w:trPr>
        <w:tc>
          <w:tcPr>
            <w:tcW w:w="596" w:type="dxa"/>
            <w:vMerge w:val="restart"/>
            <w:tcBorders>
              <w:top w:val="single" w:color="000000" w:sz="4" w:space="0"/>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p>
            <w:pPr>
              <w:spacing w:line="240" w:lineRule="auto"/>
              <w:ind w:firstLine="420"/>
              <w:jc w:val="center"/>
              <w:rPr>
                <w:rFonts w:ascii="Times New Roman" w:hAnsi="Times New Roman" w:cs="Times New Roman"/>
                <w:kern w:val="0"/>
                <w:sz w:val="21"/>
                <w:szCs w:val="21"/>
              </w:rPr>
            </w:pPr>
          </w:p>
          <w:p>
            <w:pPr>
              <w:spacing w:line="240" w:lineRule="auto"/>
              <w:ind w:firstLine="420"/>
              <w:jc w:val="center"/>
              <w:rPr>
                <w:rFonts w:ascii="Times New Roman" w:hAnsi="Times New Roman" w:cs="Times New Roman"/>
                <w:kern w:val="0"/>
                <w:sz w:val="21"/>
                <w:szCs w:val="21"/>
              </w:rPr>
            </w:pPr>
          </w:p>
          <w:p>
            <w:pPr>
              <w:spacing w:line="240" w:lineRule="auto"/>
              <w:ind w:firstLine="420"/>
              <w:jc w:val="center"/>
              <w:rPr>
                <w:rFonts w:ascii="Times New Roman" w:hAnsi="Times New Roman" w:cs="Times New Roman"/>
                <w:kern w:val="0"/>
                <w:sz w:val="21"/>
                <w:szCs w:val="21"/>
              </w:rPr>
            </w:pPr>
          </w:p>
          <w:p>
            <w:pPr>
              <w:spacing w:line="240" w:lineRule="auto"/>
              <w:ind w:firstLine="420"/>
              <w:jc w:val="center"/>
              <w:rPr>
                <w:rFonts w:ascii="Times New Roman" w:hAnsi="Times New Roman" w:cs="Times New Roman"/>
                <w:kern w:val="0"/>
                <w:sz w:val="21"/>
                <w:szCs w:val="21"/>
              </w:rPr>
            </w:pPr>
          </w:p>
          <w:p>
            <w:pPr>
              <w:spacing w:line="240" w:lineRule="auto"/>
              <w:ind w:firstLine="420"/>
              <w:jc w:val="center"/>
              <w:rPr>
                <w:rFonts w:ascii="Times New Roman" w:hAnsi="Times New Roman" w:cs="Times New Roman"/>
                <w:kern w:val="0"/>
                <w:sz w:val="21"/>
                <w:szCs w:val="21"/>
              </w:rPr>
            </w:pPr>
          </w:p>
          <w:p>
            <w:pPr>
              <w:spacing w:line="240" w:lineRule="auto"/>
              <w:ind w:firstLine="420"/>
              <w:jc w:val="center"/>
              <w:rPr>
                <w:rFonts w:ascii="Times New Roman" w:hAnsi="Times New Roman" w:cs="Times New Roman"/>
                <w:kern w:val="0"/>
                <w:sz w:val="21"/>
                <w:szCs w:val="21"/>
              </w:rPr>
            </w:pPr>
          </w:p>
          <w:p>
            <w:pPr>
              <w:spacing w:line="240" w:lineRule="auto"/>
              <w:ind w:left="186" w:right="169" w:firstLine="420"/>
              <w:jc w:val="center"/>
              <w:rPr>
                <w:rFonts w:ascii="Times New Roman" w:hAnsi="Times New Roman" w:cs="Times New Roman"/>
                <w:kern w:val="0"/>
                <w:sz w:val="21"/>
                <w:szCs w:val="21"/>
              </w:rPr>
            </w:pPr>
            <w:r>
              <w:rPr>
                <w:rFonts w:ascii="Times New Roman" w:hAnsi="Times New Roman" w:cs="Times New Roman"/>
                <w:kern w:val="0"/>
                <w:sz w:val="21"/>
                <w:szCs w:val="21"/>
              </w:rPr>
              <w:t>生生态安全</w:t>
            </w:r>
          </w:p>
          <w:p>
            <w:pPr>
              <w:spacing w:line="240" w:lineRule="auto"/>
              <w:ind w:firstLine="420"/>
              <w:jc w:val="center"/>
              <w:rPr>
                <w:rFonts w:ascii="Times New Roman" w:hAnsi="Times New Roman" w:cs="Times New Roman"/>
                <w:kern w:val="0"/>
                <w:sz w:val="21"/>
                <w:szCs w:val="21"/>
              </w:rPr>
            </w:pPr>
          </w:p>
          <w:p>
            <w:pPr>
              <w:spacing w:line="240" w:lineRule="auto"/>
              <w:ind w:firstLine="420"/>
              <w:jc w:val="center"/>
              <w:rPr>
                <w:rFonts w:ascii="Times New Roman" w:hAnsi="Times New Roman" w:cs="Times New Roman"/>
                <w:kern w:val="0"/>
                <w:sz w:val="21"/>
                <w:szCs w:val="21"/>
              </w:rPr>
            </w:pPr>
          </w:p>
          <w:p>
            <w:pPr>
              <w:spacing w:line="240" w:lineRule="auto"/>
              <w:ind w:firstLine="420"/>
              <w:jc w:val="center"/>
              <w:rPr>
                <w:rFonts w:ascii="Times New Roman" w:hAnsi="Times New Roman" w:cs="Times New Roman"/>
                <w:kern w:val="0"/>
                <w:sz w:val="21"/>
                <w:szCs w:val="21"/>
              </w:rPr>
            </w:pPr>
          </w:p>
          <w:p>
            <w:pPr>
              <w:spacing w:line="240" w:lineRule="auto"/>
              <w:ind w:firstLine="420"/>
              <w:jc w:val="center"/>
              <w:rPr>
                <w:rFonts w:ascii="Times New Roman" w:hAnsi="Times New Roman" w:cs="Times New Roman"/>
                <w:kern w:val="0"/>
                <w:sz w:val="21"/>
                <w:szCs w:val="21"/>
              </w:rPr>
            </w:pPr>
          </w:p>
          <w:p>
            <w:pPr>
              <w:spacing w:line="240" w:lineRule="auto"/>
              <w:ind w:firstLine="420"/>
              <w:jc w:val="center"/>
              <w:rPr>
                <w:rFonts w:ascii="Times New Roman" w:hAnsi="Times New Roman" w:cs="Times New Roman"/>
                <w:kern w:val="0"/>
                <w:sz w:val="21"/>
                <w:szCs w:val="21"/>
              </w:rPr>
            </w:pPr>
          </w:p>
          <w:p>
            <w:pPr>
              <w:spacing w:line="240" w:lineRule="auto"/>
              <w:ind w:firstLine="420"/>
              <w:jc w:val="center"/>
              <w:rPr>
                <w:rFonts w:ascii="Times New Roman" w:hAnsi="Times New Roman" w:cs="Times New Roman"/>
                <w:kern w:val="0"/>
                <w:sz w:val="21"/>
                <w:szCs w:val="21"/>
              </w:rPr>
            </w:pPr>
          </w:p>
          <w:p>
            <w:pPr>
              <w:spacing w:line="240" w:lineRule="auto"/>
              <w:ind w:firstLine="420"/>
              <w:jc w:val="center"/>
              <w:rPr>
                <w:rFonts w:ascii="Times New Roman" w:hAnsi="Times New Roman" w:cs="Times New Roman"/>
                <w:kern w:val="0"/>
                <w:sz w:val="21"/>
                <w:szCs w:val="21"/>
              </w:rPr>
            </w:pPr>
          </w:p>
          <w:p>
            <w:pPr>
              <w:spacing w:line="240" w:lineRule="auto"/>
              <w:ind w:firstLine="420"/>
              <w:jc w:val="center"/>
              <w:rPr>
                <w:rFonts w:ascii="Times New Roman" w:hAnsi="Times New Roman" w:cs="Times New Roman"/>
                <w:kern w:val="0"/>
                <w:sz w:val="21"/>
                <w:szCs w:val="21"/>
              </w:rPr>
            </w:pPr>
          </w:p>
          <w:p>
            <w:pPr>
              <w:spacing w:line="240" w:lineRule="auto"/>
              <w:ind w:firstLine="420"/>
              <w:jc w:val="center"/>
              <w:rPr>
                <w:rFonts w:ascii="Times New Roman" w:hAnsi="Times New Roman" w:cs="Times New Roman"/>
                <w:kern w:val="0"/>
                <w:sz w:val="21"/>
                <w:szCs w:val="21"/>
              </w:rPr>
            </w:pPr>
          </w:p>
          <w:p>
            <w:pPr>
              <w:spacing w:line="240" w:lineRule="auto"/>
              <w:ind w:firstLine="420"/>
              <w:jc w:val="center"/>
              <w:rPr>
                <w:rFonts w:ascii="Times New Roman" w:hAnsi="Times New Roman" w:cs="Times New Roman"/>
                <w:kern w:val="0"/>
                <w:sz w:val="21"/>
                <w:szCs w:val="21"/>
              </w:rPr>
            </w:pPr>
          </w:p>
          <w:p>
            <w:pPr>
              <w:spacing w:line="240" w:lineRule="auto"/>
              <w:ind w:left="186" w:right="169" w:firstLine="420"/>
              <w:jc w:val="center"/>
              <w:rPr>
                <w:rFonts w:ascii="Times New Roman" w:hAnsi="Times New Roman" w:cs="Times New Roman"/>
                <w:kern w:val="0"/>
                <w:sz w:val="21"/>
                <w:szCs w:val="21"/>
              </w:rPr>
            </w:pPr>
            <w:r>
              <w:rPr>
                <w:rFonts w:ascii="Times New Roman" w:hAnsi="Times New Roman" w:cs="Times New Roman"/>
                <w:kern w:val="0"/>
                <w:sz w:val="21"/>
                <w:szCs w:val="21"/>
              </w:rPr>
              <w:t>生态安全</w:t>
            </w:r>
          </w:p>
          <w:p>
            <w:pPr>
              <w:spacing w:line="240" w:lineRule="auto"/>
              <w:ind w:left="186" w:right="169" w:firstLine="420"/>
              <w:jc w:val="center"/>
              <w:rPr>
                <w:rFonts w:ascii="Times New Roman" w:hAnsi="Times New Roman" w:cs="Times New Roman"/>
                <w:kern w:val="0"/>
                <w:sz w:val="21"/>
                <w:szCs w:val="21"/>
              </w:rPr>
            </w:pPr>
          </w:p>
        </w:tc>
        <w:tc>
          <w:tcPr>
            <w:tcW w:w="767"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ind w:right="45"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（二） 生态环境质量改善</w:t>
            </w:r>
          </w:p>
        </w:tc>
        <w:tc>
          <w:tcPr>
            <w:tcW w:w="80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7</w:t>
            </w:r>
          </w:p>
        </w:tc>
        <w:tc>
          <w:tcPr>
            <w:tcW w:w="319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环境空气质量优良天数比</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PM2.5 浓度下降幅</w:t>
            </w:r>
            <w:r>
              <w:rPr>
                <w:rFonts w:ascii="Times New Roman" w:hAnsi="Times New Roman" w:cs="Times New Roman"/>
                <w:spacing w:val="-1"/>
                <w:w w:val="99"/>
                <w:kern w:val="0"/>
                <w:sz w:val="21"/>
                <w:szCs w:val="21"/>
              </w:rPr>
              <w:t>度</w:t>
            </w:r>
          </w:p>
        </w:tc>
        <w:tc>
          <w:tcPr>
            <w:tcW w:w="101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29" w:firstLine="0" w:firstLineChars="0"/>
              <w:jc w:val="center"/>
              <w:rPr>
                <w:rFonts w:ascii="Times New Roman" w:hAnsi="Times New Roman" w:cs="Times New Roman"/>
                <w:spacing w:val="-15"/>
                <w:w w:val="95"/>
                <w:kern w:val="0"/>
                <w:sz w:val="21"/>
                <w:szCs w:val="21"/>
              </w:rPr>
            </w:pPr>
            <w:r>
              <w:rPr>
                <w:rFonts w:ascii="Times New Roman" w:hAnsi="Times New Roman" w:cs="Times New Roman"/>
                <w:spacing w:val="-7"/>
                <w:kern w:val="0"/>
                <w:sz w:val="21"/>
                <w:szCs w:val="21"/>
              </w:rPr>
              <w:t>完成上级规定的考</w:t>
            </w:r>
            <w:r>
              <w:rPr>
                <w:rFonts w:ascii="Times New Roman" w:hAnsi="Times New Roman" w:cs="Times New Roman"/>
                <w:spacing w:val="-15"/>
                <w:w w:val="95"/>
                <w:kern w:val="0"/>
                <w:sz w:val="21"/>
                <w:szCs w:val="21"/>
              </w:rPr>
              <w:t>核任务；保持稳定或</w:t>
            </w:r>
            <w:r>
              <w:rPr>
                <w:rFonts w:ascii="Times New Roman" w:hAnsi="Times New Roman" w:cs="Times New Roman"/>
                <w:spacing w:val="-7"/>
                <w:kern w:val="0"/>
                <w:sz w:val="21"/>
                <w:szCs w:val="21"/>
              </w:rPr>
              <w:t>持续改善</w:t>
            </w:r>
          </w:p>
        </w:tc>
        <w:tc>
          <w:tcPr>
            <w:tcW w:w="988"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约束性</w:t>
            </w:r>
          </w:p>
        </w:tc>
        <w:tc>
          <w:tcPr>
            <w:tcW w:w="1016" w:type="dxa"/>
            <w:tcBorders>
              <w:top w:val="single" w:color="000000" w:sz="4" w:space="0"/>
              <w:left w:val="single" w:color="000000" w:sz="4" w:space="0"/>
              <w:bottom w:val="single" w:color="000000" w:sz="4" w:space="0"/>
            </w:tcBorders>
            <w:vAlign w:val="center"/>
          </w:tcPr>
          <w:p>
            <w:pPr>
              <w:spacing w:line="240" w:lineRule="auto"/>
              <w:ind w:right="3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市县</w:t>
            </w:r>
          </w:p>
        </w:tc>
        <w:tc>
          <w:tcPr>
            <w:tcW w:w="1327"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spacing w:val="-15"/>
                <w:w w:val="95"/>
                <w:kern w:val="0"/>
                <w:sz w:val="21"/>
                <w:szCs w:val="21"/>
              </w:rPr>
            </w:pPr>
            <w:r>
              <w:rPr>
                <w:rFonts w:ascii="Times New Roman" w:hAnsi="Times New Roman" w:cs="Times New Roman"/>
                <w:spacing w:val="-15"/>
                <w:w w:val="95"/>
                <w:kern w:val="0"/>
                <w:sz w:val="21"/>
                <w:szCs w:val="21"/>
              </w:rPr>
              <w:t>82.47%</w:t>
            </w:r>
          </w:p>
          <w:p>
            <w:pPr>
              <w:spacing w:line="240" w:lineRule="auto"/>
              <w:ind w:firstLine="0" w:firstLineChars="0"/>
              <w:jc w:val="center"/>
              <w:rPr>
                <w:rFonts w:ascii="Times New Roman" w:hAnsi="Times New Roman" w:cs="Times New Roman"/>
                <w:spacing w:val="-15"/>
                <w:w w:val="95"/>
                <w:kern w:val="0"/>
                <w:sz w:val="21"/>
                <w:szCs w:val="21"/>
              </w:rPr>
            </w:pPr>
            <w:r>
              <w:rPr>
                <w:rFonts w:ascii="Times New Roman" w:hAnsi="Times New Roman" w:cs="Times New Roman"/>
                <w:spacing w:val="-15"/>
                <w:w w:val="95"/>
                <w:kern w:val="0"/>
                <w:sz w:val="21"/>
                <w:szCs w:val="21"/>
              </w:rPr>
              <w:t>24.37%</w:t>
            </w:r>
          </w:p>
        </w:tc>
        <w:tc>
          <w:tcPr>
            <w:tcW w:w="1135"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85%</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w:t>
            </w:r>
          </w:p>
        </w:tc>
        <w:tc>
          <w:tcPr>
            <w:tcW w:w="1313"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85%</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65" w:hRule="atLeast"/>
          <w:jc w:val="center"/>
        </w:trPr>
        <w:tc>
          <w:tcPr>
            <w:tcW w:w="596" w:type="dxa"/>
            <w:vMerge w:val="continue"/>
            <w:tcBorders>
              <w:right w:val="single" w:color="000000" w:sz="4" w:space="0"/>
            </w:tcBorders>
            <w:vAlign w:val="center"/>
          </w:tcPr>
          <w:p>
            <w:pPr>
              <w:spacing w:line="240" w:lineRule="auto"/>
              <w:ind w:left="186" w:right="169" w:firstLine="420"/>
              <w:jc w:val="center"/>
              <w:rPr>
                <w:rFonts w:ascii="Times New Roman" w:hAnsi="Times New Roman" w:cs="Times New Roman"/>
                <w:kern w:val="0"/>
                <w:sz w:val="21"/>
                <w:szCs w:val="21"/>
              </w:rPr>
            </w:pPr>
          </w:p>
        </w:tc>
        <w:tc>
          <w:tcPr>
            <w:tcW w:w="767" w:type="dxa"/>
            <w:vMerge w:val="continue"/>
            <w:tcBorders>
              <w:top w:val="nil"/>
              <w:left w:val="single" w:color="000000" w:sz="4" w:space="0"/>
              <w:bottom w:val="single" w:color="000000" w:sz="4" w:space="0"/>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80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highlight w:val="yellow"/>
              </w:rPr>
            </w:pPr>
            <w:r>
              <w:rPr>
                <w:rFonts w:ascii="Times New Roman" w:hAnsi="Times New Roman" w:cs="Times New Roman"/>
                <w:w w:val="99"/>
                <w:kern w:val="0"/>
                <w:sz w:val="21"/>
                <w:szCs w:val="21"/>
              </w:rPr>
              <w:t>8</w:t>
            </w:r>
          </w:p>
        </w:tc>
        <w:tc>
          <w:tcPr>
            <w:tcW w:w="319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水环境质量</w:t>
            </w:r>
          </w:p>
          <w:p>
            <w:pPr>
              <w:spacing w:line="240" w:lineRule="auto"/>
              <w:ind w:right="181" w:firstLine="0" w:firstLineChars="0"/>
              <w:jc w:val="center"/>
              <w:rPr>
                <w:rFonts w:ascii="Times New Roman" w:hAnsi="Times New Roman" w:cs="Times New Roman"/>
                <w:spacing w:val="-9"/>
                <w:kern w:val="0"/>
                <w:sz w:val="21"/>
                <w:szCs w:val="21"/>
              </w:rPr>
            </w:pPr>
            <w:r>
              <w:rPr>
                <w:rFonts w:ascii="Times New Roman" w:hAnsi="Times New Roman" w:cs="Times New Roman"/>
                <w:spacing w:val="-9"/>
                <w:kern w:val="0"/>
                <w:sz w:val="21"/>
                <w:szCs w:val="21"/>
              </w:rPr>
              <w:t>水质达到或优于Ⅲ类比例</w:t>
            </w:r>
          </w:p>
          <w:p>
            <w:pPr>
              <w:spacing w:line="240" w:lineRule="auto"/>
              <w:ind w:right="181" w:firstLine="0" w:firstLineChars="0"/>
              <w:jc w:val="center"/>
              <w:rPr>
                <w:rFonts w:ascii="Times New Roman" w:hAnsi="Times New Roman" w:cs="Times New Roman"/>
                <w:kern w:val="0"/>
                <w:sz w:val="21"/>
                <w:szCs w:val="21"/>
              </w:rPr>
            </w:pPr>
            <w:r>
              <w:rPr>
                <w:rFonts w:ascii="Times New Roman" w:hAnsi="Times New Roman" w:cs="Times New Roman"/>
                <w:spacing w:val="-9"/>
                <w:kern w:val="0"/>
                <w:sz w:val="21"/>
                <w:szCs w:val="21"/>
              </w:rPr>
              <w:t>提高</w:t>
            </w:r>
            <w:r>
              <w:rPr>
                <w:rFonts w:ascii="Times New Roman" w:hAnsi="Times New Roman" w:cs="Times New Roman"/>
                <w:spacing w:val="-4"/>
                <w:kern w:val="0"/>
                <w:sz w:val="21"/>
                <w:szCs w:val="21"/>
              </w:rPr>
              <w:t>幅度</w:t>
            </w:r>
          </w:p>
          <w:p>
            <w:pPr>
              <w:spacing w:line="240" w:lineRule="auto"/>
              <w:ind w:right="497" w:firstLine="0" w:firstLineChars="0"/>
              <w:jc w:val="center"/>
              <w:rPr>
                <w:rFonts w:ascii="Times New Roman" w:hAnsi="Times New Roman" w:cs="Times New Roman"/>
                <w:spacing w:val="-9"/>
                <w:kern w:val="0"/>
                <w:sz w:val="21"/>
                <w:szCs w:val="21"/>
              </w:rPr>
            </w:pPr>
            <w:r>
              <w:rPr>
                <w:rFonts w:ascii="Times New Roman" w:hAnsi="Times New Roman" w:cs="Times New Roman"/>
                <w:spacing w:val="-28"/>
                <w:kern w:val="0"/>
                <w:sz w:val="21"/>
                <w:szCs w:val="21"/>
              </w:rPr>
              <w:t xml:space="preserve">劣 </w:t>
            </w:r>
            <w:r>
              <w:rPr>
                <w:rFonts w:ascii="Times New Roman" w:hAnsi="Times New Roman" w:cs="Times New Roman"/>
                <w:kern w:val="0"/>
                <w:sz w:val="21"/>
                <w:szCs w:val="21"/>
              </w:rPr>
              <w:t>V</w:t>
            </w:r>
            <w:r>
              <w:rPr>
                <w:rFonts w:ascii="Times New Roman" w:hAnsi="Times New Roman" w:cs="Times New Roman"/>
                <w:spacing w:val="-9"/>
                <w:kern w:val="0"/>
                <w:sz w:val="21"/>
                <w:szCs w:val="21"/>
              </w:rPr>
              <w:t>类水体比例下降幅度</w:t>
            </w:r>
          </w:p>
          <w:p>
            <w:pPr>
              <w:spacing w:line="240" w:lineRule="auto"/>
              <w:ind w:right="497" w:firstLine="0" w:firstLineChars="0"/>
              <w:jc w:val="center"/>
              <w:rPr>
                <w:rFonts w:ascii="Times New Roman" w:hAnsi="Times New Roman" w:cs="Times New Roman"/>
                <w:spacing w:val="-9"/>
                <w:kern w:val="0"/>
                <w:sz w:val="21"/>
                <w:szCs w:val="21"/>
              </w:rPr>
            </w:pPr>
            <w:r>
              <w:rPr>
                <w:rFonts w:ascii="Times New Roman" w:hAnsi="Times New Roman" w:cs="Times New Roman"/>
                <w:kern w:val="0"/>
                <w:sz w:val="21"/>
                <w:szCs w:val="21"/>
              </w:rPr>
              <w:t>黑臭水体消除比例</w:t>
            </w:r>
          </w:p>
        </w:tc>
        <w:tc>
          <w:tcPr>
            <w:tcW w:w="101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240" w:lineRule="auto"/>
              <w:ind w:left="8" w:right="-29" w:firstLine="0" w:firstLineChars="0"/>
              <w:jc w:val="center"/>
              <w:rPr>
                <w:rFonts w:ascii="Times New Roman" w:hAnsi="Times New Roman" w:cs="Times New Roman"/>
                <w:spacing w:val="-15"/>
                <w:w w:val="95"/>
                <w:kern w:val="0"/>
                <w:sz w:val="21"/>
                <w:szCs w:val="21"/>
              </w:rPr>
            </w:pPr>
            <w:r>
              <w:rPr>
                <w:rFonts w:ascii="Times New Roman" w:hAnsi="Times New Roman" w:cs="Times New Roman"/>
                <w:spacing w:val="-7"/>
                <w:kern w:val="0"/>
                <w:sz w:val="21"/>
                <w:szCs w:val="21"/>
              </w:rPr>
              <w:t>完成上级规定的考</w:t>
            </w:r>
            <w:r>
              <w:rPr>
                <w:rFonts w:ascii="Times New Roman" w:hAnsi="Times New Roman" w:cs="Times New Roman"/>
                <w:spacing w:val="-15"/>
                <w:w w:val="95"/>
                <w:kern w:val="0"/>
                <w:sz w:val="21"/>
                <w:szCs w:val="21"/>
              </w:rPr>
              <w:t>核任务</w:t>
            </w:r>
          </w:p>
          <w:p>
            <w:pPr>
              <w:spacing w:line="240" w:lineRule="auto"/>
              <w:ind w:left="8" w:right="-29" w:firstLine="0" w:firstLineChars="0"/>
              <w:jc w:val="center"/>
              <w:rPr>
                <w:rFonts w:ascii="Times New Roman" w:hAnsi="Times New Roman" w:cs="Times New Roman"/>
                <w:kern w:val="0"/>
                <w:sz w:val="21"/>
                <w:szCs w:val="21"/>
              </w:rPr>
            </w:pPr>
            <w:r>
              <w:rPr>
                <w:rFonts w:ascii="Times New Roman" w:hAnsi="Times New Roman" w:cs="Times New Roman"/>
                <w:spacing w:val="-15"/>
                <w:w w:val="95"/>
                <w:kern w:val="0"/>
                <w:sz w:val="21"/>
                <w:szCs w:val="21"/>
              </w:rPr>
              <w:t>保持稳定或</w:t>
            </w:r>
            <w:r>
              <w:rPr>
                <w:rFonts w:ascii="Times New Roman" w:hAnsi="Times New Roman" w:cs="Times New Roman"/>
                <w:spacing w:val="-7"/>
                <w:kern w:val="0"/>
                <w:sz w:val="21"/>
                <w:szCs w:val="21"/>
              </w:rPr>
              <w:t>持续改善</w:t>
            </w:r>
          </w:p>
        </w:tc>
        <w:tc>
          <w:tcPr>
            <w:tcW w:w="988"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约束性</w:t>
            </w:r>
          </w:p>
        </w:tc>
        <w:tc>
          <w:tcPr>
            <w:tcW w:w="1016" w:type="dxa"/>
            <w:tcBorders>
              <w:top w:val="single" w:color="000000" w:sz="4" w:space="0"/>
              <w:left w:val="single" w:color="000000" w:sz="4" w:space="0"/>
              <w:bottom w:val="single" w:color="000000" w:sz="4" w:space="0"/>
            </w:tcBorders>
            <w:vAlign w:val="center"/>
          </w:tcPr>
          <w:p>
            <w:pPr>
              <w:spacing w:line="240" w:lineRule="auto"/>
              <w:ind w:right="3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市县</w:t>
            </w:r>
          </w:p>
        </w:tc>
        <w:tc>
          <w:tcPr>
            <w:tcW w:w="1327"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40%</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无</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无</w:t>
            </w:r>
          </w:p>
        </w:tc>
        <w:tc>
          <w:tcPr>
            <w:tcW w:w="1135"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40%</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无</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无</w:t>
            </w:r>
          </w:p>
        </w:tc>
        <w:tc>
          <w:tcPr>
            <w:tcW w:w="1313"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40%</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无</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84" w:hRule="atLeast"/>
          <w:jc w:val="center"/>
        </w:trPr>
        <w:tc>
          <w:tcPr>
            <w:tcW w:w="596" w:type="dxa"/>
            <w:vMerge w:val="continue"/>
            <w:tcBorders>
              <w:right w:val="single" w:color="000000" w:sz="4" w:space="0"/>
            </w:tcBorders>
            <w:vAlign w:val="center"/>
          </w:tcPr>
          <w:p>
            <w:pPr>
              <w:spacing w:line="240" w:lineRule="auto"/>
              <w:ind w:left="186" w:right="169" w:firstLine="420"/>
              <w:jc w:val="center"/>
              <w:rPr>
                <w:rFonts w:ascii="Times New Roman" w:hAnsi="Times New Roman" w:cs="Times New Roman"/>
                <w:kern w:val="0"/>
                <w:sz w:val="21"/>
                <w:szCs w:val="21"/>
              </w:rPr>
            </w:pPr>
          </w:p>
        </w:tc>
        <w:tc>
          <w:tcPr>
            <w:tcW w:w="767" w:type="dxa"/>
            <w:vMerge w:val="restart"/>
            <w:tcBorders>
              <w:top w:val="single" w:color="000000" w:sz="4" w:space="0"/>
              <w:left w:val="single" w:color="000000" w:sz="4" w:space="0"/>
              <w:right w:val="single" w:color="000000" w:sz="4" w:space="0"/>
            </w:tcBorders>
            <w:vAlign w:val="center"/>
          </w:tcPr>
          <w:p>
            <w:pPr>
              <w:spacing w:line="240" w:lineRule="auto"/>
              <w:ind w:right="45"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（三） 生态系统保护</w:t>
            </w:r>
          </w:p>
        </w:tc>
        <w:tc>
          <w:tcPr>
            <w:tcW w:w="805"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w:t>
            </w:r>
          </w:p>
        </w:tc>
        <w:tc>
          <w:tcPr>
            <w:tcW w:w="3194"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生态环境状况指数</w:t>
            </w:r>
          </w:p>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干旱半干旱地区</w:t>
            </w:r>
            <w:r>
              <w:rPr>
                <w:rFonts w:ascii="Times New Roman" w:hAnsi="Times New Roman" w:cs="Times New Roman"/>
                <w:kern w:val="0"/>
                <w:sz w:val="21"/>
                <w:szCs w:val="21"/>
              </w:rPr>
              <w:br w:type="textWrapping"/>
            </w:r>
            <w:r>
              <w:rPr>
                <w:rFonts w:ascii="Times New Roman" w:hAnsi="Times New Roman" w:cs="Times New Roman"/>
                <w:kern w:val="0"/>
                <w:sz w:val="21"/>
                <w:szCs w:val="21"/>
              </w:rPr>
              <w:t>其他地区</w:t>
            </w:r>
          </w:p>
        </w:tc>
        <w:tc>
          <w:tcPr>
            <w:tcW w:w="1016"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≥35</w:t>
            </w:r>
          </w:p>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≥60</w:t>
            </w:r>
          </w:p>
        </w:tc>
        <w:tc>
          <w:tcPr>
            <w:tcW w:w="988"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约束性</w:t>
            </w:r>
          </w:p>
        </w:tc>
        <w:tc>
          <w:tcPr>
            <w:tcW w:w="1016" w:type="dxa"/>
            <w:tcBorders>
              <w:top w:val="single" w:color="000000" w:sz="4" w:space="0"/>
              <w:left w:val="single" w:color="000000" w:sz="4" w:space="0"/>
              <w:bottom w:val="single" w:color="000000" w:sz="4" w:space="0"/>
            </w:tcBorders>
            <w:vAlign w:val="center"/>
          </w:tcPr>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市县</w:t>
            </w:r>
          </w:p>
        </w:tc>
        <w:tc>
          <w:tcPr>
            <w:tcW w:w="1327" w:type="dxa"/>
            <w:tcBorders>
              <w:top w:val="single" w:color="000000" w:sz="4" w:space="0"/>
              <w:left w:val="single" w:color="000000" w:sz="4" w:space="0"/>
              <w:bottom w:val="single" w:color="000000" w:sz="4" w:space="0"/>
            </w:tcBorders>
            <w:vAlign w:val="center"/>
          </w:tcPr>
          <w:p>
            <w:pPr>
              <w:spacing w:line="240" w:lineRule="auto"/>
              <w:ind w:right="29" w:firstLine="0" w:firstLineChars="0"/>
              <w:jc w:val="center"/>
              <w:rPr>
                <w:rFonts w:ascii="Times New Roman" w:hAnsi="Times New Roman" w:cs="Times New Roman"/>
                <w:kern w:val="0"/>
                <w:sz w:val="21"/>
                <w:szCs w:val="21"/>
              </w:rPr>
            </w:pPr>
            <w:r>
              <w:rPr>
                <w:rFonts w:hint="eastAsia" w:ascii="Times New Roman" w:hAnsi="Times New Roman" w:cs="Times New Roman"/>
                <w:kern w:val="0"/>
                <w:sz w:val="21"/>
                <w:szCs w:val="21"/>
              </w:rPr>
              <w:t>63.5%</w:t>
            </w:r>
          </w:p>
        </w:tc>
        <w:tc>
          <w:tcPr>
            <w:tcW w:w="1135"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65%</w:t>
            </w:r>
          </w:p>
        </w:tc>
        <w:tc>
          <w:tcPr>
            <w:tcW w:w="1313"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55" w:hRule="atLeast"/>
          <w:jc w:val="center"/>
        </w:trPr>
        <w:tc>
          <w:tcPr>
            <w:tcW w:w="596" w:type="dxa"/>
            <w:vMerge w:val="continue"/>
            <w:tcBorders>
              <w:right w:val="single" w:color="000000" w:sz="4" w:space="0"/>
            </w:tcBorders>
            <w:vAlign w:val="center"/>
          </w:tcPr>
          <w:p>
            <w:pPr>
              <w:spacing w:line="240" w:lineRule="auto"/>
              <w:ind w:left="186" w:right="169" w:firstLine="420"/>
              <w:jc w:val="center"/>
              <w:rPr>
                <w:rFonts w:ascii="Times New Roman" w:hAnsi="Times New Roman" w:cs="Times New Roman"/>
                <w:kern w:val="0"/>
                <w:sz w:val="21"/>
                <w:szCs w:val="21"/>
              </w:rPr>
            </w:pPr>
          </w:p>
        </w:tc>
        <w:tc>
          <w:tcPr>
            <w:tcW w:w="767" w:type="dxa"/>
            <w:vMerge w:val="continue"/>
            <w:tcBorders>
              <w:left w:val="single" w:color="000000" w:sz="4" w:space="0"/>
              <w:right w:val="single" w:color="000000" w:sz="4" w:space="0"/>
            </w:tcBorders>
            <w:vAlign w:val="center"/>
          </w:tcPr>
          <w:p>
            <w:pPr>
              <w:spacing w:line="240" w:lineRule="auto"/>
              <w:ind w:left="62" w:right="45" w:firstLine="420"/>
              <w:jc w:val="center"/>
              <w:rPr>
                <w:rFonts w:ascii="Times New Roman" w:hAnsi="Times New Roman" w:cs="Times New Roman"/>
                <w:kern w:val="0"/>
                <w:sz w:val="21"/>
                <w:szCs w:val="21"/>
              </w:rPr>
            </w:pPr>
          </w:p>
        </w:tc>
        <w:tc>
          <w:tcPr>
            <w:tcW w:w="805" w:type="dxa"/>
            <w:tcBorders>
              <w:top w:val="single" w:color="000000" w:sz="4" w:space="0"/>
              <w:left w:val="single" w:color="000000" w:sz="4" w:space="0"/>
              <w:right w:val="single" w:color="000000" w:sz="4" w:space="0"/>
            </w:tcBorders>
            <w:vAlign w:val="center"/>
          </w:tcPr>
          <w:p>
            <w:pPr>
              <w:spacing w:line="240" w:lineRule="auto"/>
              <w:ind w:right="13"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w:t>
            </w:r>
          </w:p>
        </w:tc>
        <w:tc>
          <w:tcPr>
            <w:tcW w:w="3194" w:type="dxa"/>
            <w:tcBorders>
              <w:top w:val="single" w:color="000000" w:sz="4" w:space="0"/>
              <w:left w:val="single" w:color="000000" w:sz="4" w:space="0"/>
              <w:right w:val="single" w:color="000000" w:sz="4" w:space="0"/>
            </w:tcBorders>
            <w:vAlign w:val="center"/>
          </w:tcPr>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林草覆盖率</w:t>
            </w:r>
          </w:p>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山区</w:t>
            </w:r>
          </w:p>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丘陵地区平原地区</w:t>
            </w:r>
          </w:p>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干旱半干旱地区</w:t>
            </w:r>
          </w:p>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青藏高原地区</w:t>
            </w:r>
          </w:p>
        </w:tc>
        <w:tc>
          <w:tcPr>
            <w:tcW w:w="1016" w:type="dxa"/>
            <w:tcBorders>
              <w:top w:val="single" w:color="000000" w:sz="4" w:space="0"/>
              <w:left w:val="single" w:color="000000" w:sz="4" w:space="0"/>
              <w:right w:val="single" w:color="000000" w:sz="4" w:space="0"/>
            </w:tcBorders>
            <w:vAlign w:val="center"/>
          </w:tcPr>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w:t>
            </w:r>
          </w:p>
        </w:tc>
        <w:tc>
          <w:tcPr>
            <w:tcW w:w="1480" w:type="dxa"/>
            <w:tcBorders>
              <w:top w:val="single" w:color="000000" w:sz="4" w:space="0"/>
              <w:left w:val="single" w:color="000000" w:sz="4" w:space="0"/>
              <w:right w:val="single" w:color="000000" w:sz="4" w:space="0"/>
            </w:tcBorders>
            <w:vAlign w:val="center"/>
          </w:tcPr>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≥60</w:t>
            </w:r>
          </w:p>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≥40</w:t>
            </w:r>
          </w:p>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≥18</w:t>
            </w:r>
          </w:p>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≥35</w:t>
            </w:r>
          </w:p>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≥70</w:t>
            </w:r>
          </w:p>
        </w:tc>
        <w:tc>
          <w:tcPr>
            <w:tcW w:w="988" w:type="dxa"/>
            <w:tcBorders>
              <w:top w:val="single" w:color="000000" w:sz="4" w:space="0"/>
              <w:left w:val="single" w:color="000000" w:sz="4" w:space="0"/>
              <w:right w:val="single" w:color="000000" w:sz="4" w:space="0"/>
            </w:tcBorders>
            <w:vAlign w:val="center"/>
          </w:tcPr>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参考性</w:t>
            </w:r>
          </w:p>
        </w:tc>
        <w:tc>
          <w:tcPr>
            <w:tcW w:w="1016" w:type="dxa"/>
            <w:tcBorders>
              <w:top w:val="single" w:color="000000" w:sz="4" w:space="0"/>
              <w:left w:val="single" w:color="000000" w:sz="4" w:space="0"/>
            </w:tcBorders>
            <w:vAlign w:val="center"/>
          </w:tcPr>
          <w:p>
            <w:pPr>
              <w:spacing w:line="240" w:lineRule="auto"/>
              <w:ind w:right="3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市县</w:t>
            </w:r>
          </w:p>
        </w:tc>
        <w:tc>
          <w:tcPr>
            <w:tcW w:w="1327" w:type="dxa"/>
            <w:tcBorders>
              <w:top w:val="single" w:color="000000" w:sz="4" w:space="0"/>
              <w:lef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30.3%</w:t>
            </w:r>
          </w:p>
        </w:tc>
        <w:tc>
          <w:tcPr>
            <w:tcW w:w="1135" w:type="dxa"/>
            <w:tcBorders>
              <w:top w:val="single" w:color="000000" w:sz="4" w:space="0"/>
              <w:lef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30.3%</w:t>
            </w:r>
          </w:p>
        </w:tc>
        <w:tc>
          <w:tcPr>
            <w:tcW w:w="1313" w:type="dxa"/>
            <w:tcBorders>
              <w:top w:val="single" w:color="000000" w:sz="4" w:space="0"/>
              <w:lef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04" w:hRule="atLeast"/>
          <w:jc w:val="center"/>
        </w:trPr>
        <w:tc>
          <w:tcPr>
            <w:tcW w:w="596" w:type="dxa"/>
            <w:vMerge w:val="continue"/>
            <w:tcBorders>
              <w:right w:val="single" w:color="000000" w:sz="4" w:space="0"/>
            </w:tcBorders>
            <w:vAlign w:val="center"/>
          </w:tcPr>
          <w:p>
            <w:pPr>
              <w:spacing w:line="240" w:lineRule="auto"/>
              <w:ind w:left="186" w:right="169" w:firstLine="420"/>
              <w:jc w:val="center"/>
              <w:rPr>
                <w:rFonts w:ascii="Times New Roman" w:hAnsi="Times New Roman" w:cs="Times New Roman"/>
                <w:kern w:val="0"/>
                <w:sz w:val="21"/>
                <w:szCs w:val="21"/>
              </w:rPr>
            </w:pPr>
          </w:p>
        </w:tc>
        <w:tc>
          <w:tcPr>
            <w:tcW w:w="767" w:type="dxa"/>
            <w:vMerge w:val="continue"/>
            <w:tcBorders>
              <w:left w:val="single" w:color="000000" w:sz="4" w:space="0"/>
              <w:right w:val="single" w:color="000000" w:sz="4" w:space="0"/>
            </w:tcBorders>
            <w:vAlign w:val="center"/>
          </w:tcPr>
          <w:p>
            <w:pPr>
              <w:spacing w:line="240" w:lineRule="auto"/>
              <w:ind w:left="62" w:right="45" w:firstLine="420"/>
              <w:jc w:val="center"/>
              <w:rPr>
                <w:rFonts w:ascii="Times New Roman" w:hAnsi="Times New Roman" w:cs="Times New Roman"/>
                <w:kern w:val="0"/>
                <w:sz w:val="21"/>
                <w:szCs w:val="21"/>
              </w:rPr>
            </w:pPr>
          </w:p>
        </w:tc>
        <w:tc>
          <w:tcPr>
            <w:tcW w:w="805"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13"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11</w:t>
            </w:r>
          </w:p>
        </w:tc>
        <w:tc>
          <w:tcPr>
            <w:tcW w:w="319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5"/>
                <w:kern w:val="0"/>
                <w:sz w:val="21"/>
                <w:szCs w:val="21"/>
              </w:rPr>
              <w:t>生物多样性保护（农业、水务、林草、边检）</w:t>
            </w:r>
          </w:p>
          <w:p>
            <w:pPr>
              <w:spacing w:line="240" w:lineRule="auto"/>
              <w:ind w:right="37" w:firstLine="0" w:firstLineChars="0"/>
              <w:jc w:val="center"/>
              <w:rPr>
                <w:rFonts w:ascii="Times New Roman" w:hAnsi="Times New Roman" w:cs="Times New Roman"/>
                <w:spacing w:val="-13"/>
                <w:w w:val="95"/>
                <w:kern w:val="0"/>
                <w:sz w:val="21"/>
                <w:szCs w:val="21"/>
              </w:rPr>
            </w:pPr>
            <w:r>
              <w:rPr>
                <w:rFonts w:ascii="Times New Roman" w:hAnsi="Times New Roman" w:cs="Times New Roman"/>
                <w:spacing w:val="-13"/>
                <w:w w:val="95"/>
                <w:kern w:val="0"/>
                <w:sz w:val="21"/>
                <w:szCs w:val="21"/>
              </w:rPr>
              <w:t>国家重点保护野生动植物保护率</w:t>
            </w:r>
          </w:p>
          <w:p>
            <w:pPr>
              <w:spacing w:line="240" w:lineRule="auto"/>
              <w:ind w:right="37"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外来物种入侵</w:t>
            </w:r>
          </w:p>
          <w:p>
            <w:pPr>
              <w:spacing w:line="240" w:lineRule="auto"/>
              <w:ind w:right="37" w:firstLine="0" w:firstLineChars="0"/>
              <w:jc w:val="center"/>
              <w:rPr>
                <w:rFonts w:ascii="Times New Roman" w:hAnsi="Times New Roman" w:cs="Times New Roman"/>
                <w:kern w:val="0"/>
                <w:sz w:val="21"/>
                <w:szCs w:val="21"/>
              </w:rPr>
            </w:pPr>
            <w:r>
              <w:rPr>
                <w:rFonts w:ascii="Times New Roman" w:hAnsi="Times New Roman" w:cs="Times New Roman"/>
                <w:spacing w:val="-13"/>
                <w:kern w:val="0"/>
                <w:sz w:val="21"/>
                <w:szCs w:val="21"/>
              </w:rPr>
              <w:t>特有性或指示性水生物种保持率</w:t>
            </w:r>
          </w:p>
        </w:tc>
        <w:tc>
          <w:tcPr>
            <w:tcW w:w="101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≥95</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不明显</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不降低</w:t>
            </w:r>
          </w:p>
        </w:tc>
        <w:tc>
          <w:tcPr>
            <w:tcW w:w="988" w:type="dxa"/>
            <w:tcBorders>
              <w:top w:val="single" w:color="000000" w:sz="4" w:space="0"/>
              <w:left w:val="single" w:color="000000" w:sz="4" w:space="0"/>
              <w:bottom w:val="single" w:color="000000" w:sz="4" w:space="0"/>
              <w:right w:val="single" w:color="000000" w:sz="4" w:space="0"/>
            </w:tcBorders>
            <w:vAlign w:val="center"/>
          </w:tcPr>
          <w:p>
            <w:pPr>
              <w:spacing w:line="240" w:lineRule="auto"/>
              <w:ind w:left="44"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参考性</w:t>
            </w:r>
          </w:p>
        </w:tc>
        <w:tc>
          <w:tcPr>
            <w:tcW w:w="1016" w:type="dxa"/>
            <w:tcBorders>
              <w:top w:val="single" w:color="000000" w:sz="4" w:space="0"/>
              <w:left w:val="single" w:color="000000" w:sz="4" w:space="0"/>
              <w:bottom w:val="single" w:color="000000" w:sz="4" w:space="0"/>
            </w:tcBorders>
            <w:vAlign w:val="center"/>
          </w:tcPr>
          <w:p>
            <w:pPr>
              <w:spacing w:line="240" w:lineRule="auto"/>
              <w:ind w:right="3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市县</w:t>
            </w:r>
          </w:p>
        </w:tc>
        <w:tc>
          <w:tcPr>
            <w:tcW w:w="1327"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≥95</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不明显</w:t>
            </w:r>
          </w:p>
          <w:p>
            <w:pPr>
              <w:spacing w:line="240" w:lineRule="auto"/>
              <w:ind w:firstLine="0" w:firstLineChars="0"/>
              <w:jc w:val="center"/>
              <w:rPr>
                <w:rFonts w:ascii="Times New Roman" w:hAnsi="Times New Roman" w:cs="Times New Roman"/>
                <w:kern w:val="0"/>
                <w:sz w:val="21"/>
                <w:szCs w:val="21"/>
                <w:highlight w:val="yellow"/>
              </w:rPr>
            </w:pPr>
            <w:r>
              <w:rPr>
                <w:rFonts w:ascii="Times New Roman" w:hAnsi="Times New Roman" w:cs="Times New Roman"/>
                <w:kern w:val="0"/>
                <w:sz w:val="21"/>
                <w:szCs w:val="21"/>
              </w:rPr>
              <w:t>不降低</w:t>
            </w:r>
          </w:p>
        </w:tc>
        <w:tc>
          <w:tcPr>
            <w:tcW w:w="1135"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≥95</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不明显</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不降低</w:t>
            </w:r>
          </w:p>
        </w:tc>
        <w:tc>
          <w:tcPr>
            <w:tcW w:w="1313"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≥95</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不明显</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不降低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13" w:hRule="atLeast"/>
          <w:jc w:val="center"/>
        </w:trPr>
        <w:tc>
          <w:tcPr>
            <w:tcW w:w="596" w:type="dxa"/>
            <w:vMerge w:val="continue"/>
            <w:tcBorders>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767"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ind w:right="45"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（四） 生态环境风险防范</w:t>
            </w:r>
          </w:p>
        </w:tc>
        <w:tc>
          <w:tcPr>
            <w:tcW w:w="805"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13"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12</w:t>
            </w:r>
          </w:p>
        </w:tc>
        <w:tc>
          <w:tcPr>
            <w:tcW w:w="319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危险废物利用处置率</w:t>
            </w:r>
          </w:p>
        </w:tc>
        <w:tc>
          <w:tcPr>
            <w:tcW w:w="101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1"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w:t>
            </w:r>
          </w:p>
        </w:tc>
        <w:tc>
          <w:tcPr>
            <w:tcW w:w="988"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约束性</w:t>
            </w:r>
          </w:p>
        </w:tc>
        <w:tc>
          <w:tcPr>
            <w:tcW w:w="1016" w:type="dxa"/>
            <w:tcBorders>
              <w:top w:val="single" w:color="000000" w:sz="4" w:space="0"/>
              <w:left w:val="single" w:color="000000" w:sz="4" w:space="0"/>
              <w:bottom w:val="single" w:color="000000" w:sz="4" w:space="0"/>
            </w:tcBorders>
            <w:vAlign w:val="center"/>
          </w:tcPr>
          <w:p>
            <w:pPr>
              <w:spacing w:line="240" w:lineRule="auto"/>
              <w:ind w:right="3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市县</w:t>
            </w:r>
          </w:p>
        </w:tc>
        <w:tc>
          <w:tcPr>
            <w:tcW w:w="1327" w:type="dxa"/>
            <w:tcBorders>
              <w:top w:val="single" w:color="000000" w:sz="4" w:space="0"/>
              <w:left w:val="single" w:color="000000" w:sz="4" w:space="0"/>
              <w:bottom w:val="single" w:color="000000" w:sz="4" w:space="0"/>
            </w:tcBorders>
            <w:vAlign w:val="center"/>
          </w:tcPr>
          <w:p>
            <w:pPr>
              <w:spacing w:line="240" w:lineRule="auto"/>
              <w:ind w:right="3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w:t>
            </w:r>
          </w:p>
        </w:tc>
        <w:tc>
          <w:tcPr>
            <w:tcW w:w="1135"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w:t>
            </w:r>
          </w:p>
        </w:tc>
        <w:tc>
          <w:tcPr>
            <w:tcW w:w="1313"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30" w:hRule="atLeast"/>
          <w:jc w:val="center"/>
        </w:trPr>
        <w:tc>
          <w:tcPr>
            <w:tcW w:w="596" w:type="dxa"/>
            <w:vMerge w:val="continue"/>
            <w:tcBorders>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767" w:type="dxa"/>
            <w:vMerge w:val="continue"/>
            <w:tcBorders>
              <w:top w:val="nil"/>
              <w:left w:val="single" w:color="000000" w:sz="4" w:space="0"/>
              <w:bottom w:val="single" w:color="000000" w:sz="4" w:space="0"/>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805"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13"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13</w:t>
            </w:r>
          </w:p>
        </w:tc>
        <w:tc>
          <w:tcPr>
            <w:tcW w:w="319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建设用地土壤污染风险管控和</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复名录制度</w:t>
            </w:r>
          </w:p>
        </w:tc>
        <w:tc>
          <w:tcPr>
            <w:tcW w:w="101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1"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建立</w:t>
            </w:r>
          </w:p>
        </w:tc>
        <w:tc>
          <w:tcPr>
            <w:tcW w:w="988"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参考性</w:t>
            </w:r>
          </w:p>
        </w:tc>
        <w:tc>
          <w:tcPr>
            <w:tcW w:w="1016" w:type="dxa"/>
            <w:tcBorders>
              <w:top w:val="single" w:color="000000" w:sz="4" w:space="0"/>
              <w:left w:val="single" w:color="000000" w:sz="4" w:space="0"/>
              <w:bottom w:val="single" w:color="000000" w:sz="4" w:space="0"/>
            </w:tcBorders>
            <w:vAlign w:val="center"/>
          </w:tcPr>
          <w:p>
            <w:pPr>
              <w:spacing w:line="240" w:lineRule="auto"/>
              <w:ind w:right="3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市县</w:t>
            </w:r>
          </w:p>
        </w:tc>
        <w:tc>
          <w:tcPr>
            <w:tcW w:w="1327" w:type="dxa"/>
            <w:tcBorders>
              <w:top w:val="single" w:color="000000" w:sz="4" w:space="0"/>
              <w:left w:val="single" w:color="000000" w:sz="4" w:space="0"/>
              <w:bottom w:val="single" w:color="000000" w:sz="4" w:space="0"/>
            </w:tcBorders>
            <w:vAlign w:val="center"/>
          </w:tcPr>
          <w:p>
            <w:pPr>
              <w:spacing w:line="240" w:lineRule="auto"/>
              <w:ind w:right="3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建立</w:t>
            </w:r>
          </w:p>
        </w:tc>
        <w:tc>
          <w:tcPr>
            <w:tcW w:w="1135"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建立</w:t>
            </w:r>
          </w:p>
        </w:tc>
        <w:tc>
          <w:tcPr>
            <w:tcW w:w="1313"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建立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28" w:hRule="atLeast"/>
          <w:jc w:val="center"/>
        </w:trPr>
        <w:tc>
          <w:tcPr>
            <w:tcW w:w="596" w:type="dxa"/>
            <w:vMerge w:val="continue"/>
            <w:tcBorders>
              <w:bottom w:val="single" w:color="000000" w:sz="4" w:space="0"/>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767" w:type="dxa"/>
            <w:vMerge w:val="continue"/>
            <w:tcBorders>
              <w:top w:val="nil"/>
              <w:left w:val="single" w:color="000000" w:sz="4" w:space="0"/>
              <w:bottom w:val="single" w:color="000000" w:sz="4" w:space="0"/>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805"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13"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14</w:t>
            </w:r>
          </w:p>
        </w:tc>
        <w:tc>
          <w:tcPr>
            <w:tcW w:w="319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突发生态环境事件应急管理机制</w:t>
            </w:r>
          </w:p>
        </w:tc>
        <w:tc>
          <w:tcPr>
            <w:tcW w:w="101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1"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建立</w:t>
            </w:r>
          </w:p>
        </w:tc>
        <w:tc>
          <w:tcPr>
            <w:tcW w:w="988"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约束性</w:t>
            </w:r>
          </w:p>
        </w:tc>
        <w:tc>
          <w:tcPr>
            <w:tcW w:w="1016" w:type="dxa"/>
            <w:tcBorders>
              <w:top w:val="single" w:color="000000" w:sz="4" w:space="0"/>
              <w:left w:val="single" w:color="000000" w:sz="4" w:space="0"/>
              <w:bottom w:val="single" w:color="000000" w:sz="4" w:space="0"/>
            </w:tcBorders>
            <w:vAlign w:val="center"/>
          </w:tcPr>
          <w:p>
            <w:pPr>
              <w:spacing w:line="240" w:lineRule="auto"/>
              <w:ind w:right="3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市县</w:t>
            </w:r>
          </w:p>
        </w:tc>
        <w:tc>
          <w:tcPr>
            <w:tcW w:w="1327" w:type="dxa"/>
            <w:tcBorders>
              <w:top w:val="single" w:color="000000" w:sz="4" w:space="0"/>
              <w:left w:val="single" w:color="000000" w:sz="4" w:space="0"/>
              <w:bottom w:val="single" w:color="000000" w:sz="4" w:space="0"/>
            </w:tcBorders>
            <w:vAlign w:val="center"/>
          </w:tcPr>
          <w:p>
            <w:pPr>
              <w:spacing w:line="240" w:lineRule="auto"/>
              <w:ind w:right="3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建立</w:t>
            </w:r>
          </w:p>
        </w:tc>
        <w:tc>
          <w:tcPr>
            <w:tcW w:w="1135"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建立</w:t>
            </w:r>
          </w:p>
        </w:tc>
        <w:tc>
          <w:tcPr>
            <w:tcW w:w="1313"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建立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95" w:hRule="atLeast"/>
          <w:jc w:val="center"/>
        </w:trPr>
        <w:tc>
          <w:tcPr>
            <w:tcW w:w="596" w:type="dxa"/>
            <w:vMerge w:val="restart"/>
            <w:tcBorders>
              <w:top w:val="single" w:color="000000" w:sz="4" w:space="0"/>
              <w:bottom w:val="single" w:color="000000" w:sz="4" w:space="0"/>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p>
            <w:pPr>
              <w:spacing w:line="240" w:lineRule="auto"/>
              <w:ind w:left="186" w:right="169" w:firstLine="420"/>
              <w:jc w:val="center"/>
              <w:rPr>
                <w:rFonts w:ascii="Times New Roman" w:hAnsi="Times New Roman" w:cs="Times New Roman"/>
                <w:kern w:val="0"/>
                <w:sz w:val="21"/>
                <w:szCs w:val="21"/>
              </w:rPr>
            </w:pPr>
            <w:r>
              <w:rPr>
                <w:rFonts w:ascii="Times New Roman" w:hAnsi="Times New Roman" w:cs="Times New Roman"/>
                <w:kern w:val="0"/>
                <w:sz w:val="21"/>
                <w:szCs w:val="21"/>
              </w:rPr>
              <w:t>生生态空间</w:t>
            </w:r>
          </w:p>
        </w:tc>
        <w:tc>
          <w:tcPr>
            <w:tcW w:w="767"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ind w:right="45"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（五） 空间格局优化</w:t>
            </w:r>
          </w:p>
        </w:tc>
        <w:tc>
          <w:tcPr>
            <w:tcW w:w="805"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13"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15</w:t>
            </w:r>
          </w:p>
        </w:tc>
        <w:tc>
          <w:tcPr>
            <w:tcW w:w="319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自然生态空间</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生态保护红线</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自然保护地</w:t>
            </w:r>
          </w:p>
        </w:tc>
        <w:tc>
          <w:tcPr>
            <w:tcW w:w="101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198" w:firstLineChars="96"/>
              <w:jc w:val="center"/>
              <w:rPr>
                <w:rFonts w:ascii="Times New Roman" w:hAnsi="Times New Roman" w:cs="Times New Roman"/>
                <w:kern w:val="0"/>
                <w:sz w:val="21"/>
                <w:szCs w:val="21"/>
              </w:rPr>
            </w:pPr>
            <w:r>
              <w:rPr>
                <w:rFonts w:ascii="Times New Roman" w:hAnsi="Times New Roman" w:cs="Times New Roman"/>
                <w:w w:val="99"/>
                <w:kern w:val="0"/>
                <w:sz w:val="21"/>
                <w:szCs w:val="21"/>
              </w:rPr>
              <w:t>-</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spacing w:val="-15"/>
                <w:w w:val="95"/>
                <w:kern w:val="0"/>
                <w:sz w:val="21"/>
                <w:szCs w:val="21"/>
              </w:rPr>
              <w:t>面积不减少，性质不</w:t>
            </w:r>
            <w:r>
              <w:rPr>
                <w:rFonts w:ascii="Times New Roman" w:hAnsi="Times New Roman" w:cs="Times New Roman"/>
                <w:spacing w:val="-12"/>
                <w:kern w:val="0"/>
                <w:sz w:val="21"/>
                <w:szCs w:val="21"/>
              </w:rPr>
              <w:t>改变，功能不降低</w:t>
            </w:r>
          </w:p>
        </w:tc>
        <w:tc>
          <w:tcPr>
            <w:tcW w:w="988"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约束性</w:t>
            </w:r>
          </w:p>
        </w:tc>
        <w:tc>
          <w:tcPr>
            <w:tcW w:w="1016" w:type="dxa"/>
            <w:tcBorders>
              <w:top w:val="single" w:color="000000" w:sz="4" w:space="0"/>
              <w:left w:val="single" w:color="000000" w:sz="4" w:space="0"/>
              <w:bottom w:val="single" w:color="000000" w:sz="4" w:space="0"/>
            </w:tcBorders>
            <w:vAlign w:val="center"/>
          </w:tcPr>
          <w:p>
            <w:pPr>
              <w:spacing w:line="240" w:lineRule="auto"/>
              <w:ind w:right="3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市县</w:t>
            </w:r>
          </w:p>
        </w:tc>
        <w:tc>
          <w:tcPr>
            <w:tcW w:w="1327"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2120.65km</w:t>
            </w:r>
            <w:r>
              <w:rPr>
                <w:rFonts w:ascii="Times New Roman" w:hAnsi="Times New Roman" w:cs="Times New Roman"/>
                <w:kern w:val="0"/>
                <w:sz w:val="21"/>
                <w:szCs w:val="21"/>
                <w:vertAlign w:val="superscript"/>
              </w:rPr>
              <w:t>2</w:t>
            </w:r>
          </w:p>
        </w:tc>
        <w:tc>
          <w:tcPr>
            <w:tcW w:w="1135"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面积不减少，性质不改变，功能不降低</w:t>
            </w:r>
          </w:p>
        </w:tc>
        <w:tc>
          <w:tcPr>
            <w:tcW w:w="1313"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面积不减少，性质不改变，功能不降低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13" w:hRule="atLeast"/>
          <w:jc w:val="center"/>
        </w:trPr>
        <w:tc>
          <w:tcPr>
            <w:tcW w:w="596" w:type="dxa"/>
            <w:vMerge w:val="continue"/>
            <w:tcBorders>
              <w:top w:val="nil"/>
              <w:bottom w:val="single" w:color="auto" w:sz="4" w:space="0"/>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767" w:type="dxa"/>
            <w:vMerge w:val="continue"/>
            <w:tcBorders>
              <w:top w:val="nil"/>
              <w:left w:val="single" w:color="000000" w:sz="4" w:space="0"/>
              <w:bottom w:val="single" w:color="auto" w:sz="4" w:space="0"/>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805" w:type="dxa"/>
            <w:tcBorders>
              <w:top w:val="single" w:color="000000" w:sz="4" w:space="0"/>
              <w:left w:val="single" w:color="000000" w:sz="4" w:space="0"/>
              <w:bottom w:val="single" w:color="auto" w:sz="4" w:space="0"/>
              <w:right w:val="single" w:color="000000" w:sz="4" w:space="0"/>
            </w:tcBorders>
            <w:vAlign w:val="center"/>
          </w:tcPr>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16</w:t>
            </w:r>
          </w:p>
        </w:tc>
        <w:tc>
          <w:tcPr>
            <w:tcW w:w="3194"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河湖岸线保护率</w:t>
            </w:r>
          </w:p>
        </w:tc>
        <w:tc>
          <w:tcPr>
            <w:tcW w:w="1016"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完成上级管控目标</w:t>
            </w:r>
          </w:p>
        </w:tc>
        <w:tc>
          <w:tcPr>
            <w:tcW w:w="988" w:type="dxa"/>
            <w:tcBorders>
              <w:top w:val="single" w:color="000000" w:sz="4" w:space="0"/>
              <w:left w:val="single" w:color="000000" w:sz="4" w:space="0"/>
              <w:bottom w:val="single" w:color="000000" w:sz="4" w:space="0"/>
              <w:right w:val="single" w:color="000000" w:sz="4" w:space="0"/>
            </w:tcBorders>
            <w:vAlign w:val="center"/>
          </w:tcPr>
          <w:p>
            <w:pPr>
              <w:spacing w:line="240" w:lineRule="auto"/>
              <w:ind w:left="44"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参考性</w:t>
            </w:r>
          </w:p>
        </w:tc>
        <w:tc>
          <w:tcPr>
            <w:tcW w:w="1016" w:type="dxa"/>
            <w:tcBorders>
              <w:top w:val="single" w:color="000000" w:sz="4" w:space="0"/>
              <w:left w:val="single" w:color="000000" w:sz="4" w:space="0"/>
              <w:bottom w:val="single" w:color="000000" w:sz="4" w:space="0"/>
            </w:tcBorders>
            <w:vAlign w:val="center"/>
          </w:tcPr>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市县</w:t>
            </w:r>
          </w:p>
        </w:tc>
        <w:tc>
          <w:tcPr>
            <w:tcW w:w="1327" w:type="dxa"/>
            <w:tcBorders>
              <w:top w:val="single" w:color="000000" w:sz="4" w:space="0"/>
              <w:left w:val="single" w:color="000000" w:sz="4" w:space="0"/>
              <w:bottom w:val="single" w:color="000000" w:sz="4" w:space="0"/>
            </w:tcBorders>
            <w:vAlign w:val="center"/>
          </w:tcPr>
          <w:p>
            <w:pPr>
              <w:spacing w:line="240" w:lineRule="auto"/>
              <w:ind w:right="29"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53.2%</w:t>
            </w:r>
          </w:p>
        </w:tc>
        <w:tc>
          <w:tcPr>
            <w:tcW w:w="1135"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53.2%</w:t>
            </w:r>
          </w:p>
        </w:tc>
        <w:tc>
          <w:tcPr>
            <w:tcW w:w="1313"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完成上级管控目标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23" w:hRule="atLeast"/>
          <w:jc w:val="center"/>
        </w:trPr>
        <w:tc>
          <w:tcPr>
            <w:tcW w:w="596" w:type="dxa"/>
            <w:vMerge w:val="restart"/>
            <w:tcBorders>
              <w:top w:val="single" w:color="auto" w:sz="4" w:space="0"/>
              <w:left w:val="single" w:color="auto" w:sz="4" w:space="0"/>
              <w:bottom w:val="single" w:color="000000" w:sz="4" w:space="0"/>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p>
            <w:pPr>
              <w:spacing w:line="240" w:lineRule="auto"/>
              <w:ind w:firstLine="420"/>
              <w:jc w:val="center"/>
              <w:rPr>
                <w:rFonts w:ascii="Times New Roman" w:hAnsi="Times New Roman" w:cs="Times New Roman"/>
                <w:kern w:val="0"/>
                <w:sz w:val="21"/>
                <w:szCs w:val="21"/>
              </w:rPr>
            </w:pPr>
          </w:p>
          <w:p>
            <w:pPr>
              <w:spacing w:line="240" w:lineRule="auto"/>
              <w:ind w:firstLine="420"/>
              <w:jc w:val="center"/>
              <w:rPr>
                <w:rFonts w:ascii="Times New Roman" w:hAnsi="Times New Roman" w:cs="Times New Roman"/>
                <w:kern w:val="0"/>
                <w:sz w:val="21"/>
                <w:szCs w:val="21"/>
              </w:rPr>
            </w:pPr>
          </w:p>
          <w:p>
            <w:pPr>
              <w:spacing w:line="240" w:lineRule="auto"/>
              <w:ind w:firstLine="420"/>
              <w:jc w:val="center"/>
              <w:rPr>
                <w:rFonts w:ascii="Times New Roman" w:hAnsi="Times New Roman" w:cs="Times New Roman"/>
                <w:kern w:val="0"/>
                <w:sz w:val="21"/>
                <w:szCs w:val="21"/>
              </w:rPr>
            </w:pP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生态经济</w:t>
            </w:r>
          </w:p>
        </w:tc>
        <w:tc>
          <w:tcPr>
            <w:tcW w:w="767" w:type="dxa"/>
            <w:vMerge w:val="restart"/>
            <w:tcBorders>
              <w:top w:val="single" w:color="auto"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（六</w:t>
            </w:r>
            <w:r>
              <w:rPr>
                <w:rFonts w:ascii="Times New Roman" w:hAnsi="Times New Roman" w:cs="Times New Roman"/>
                <w:spacing w:val="-16"/>
                <w:kern w:val="0"/>
                <w:sz w:val="21"/>
                <w:szCs w:val="21"/>
              </w:rPr>
              <w:t xml:space="preserve">） </w:t>
            </w:r>
            <w:r>
              <w:rPr>
                <w:rFonts w:ascii="Times New Roman" w:hAnsi="Times New Roman" w:cs="Times New Roman"/>
                <w:spacing w:val="-6"/>
                <w:kern w:val="0"/>
                <w:sz w:val="21"/>
                <w:szCs w:val="21"/>
              </w:rPr>
              <w:t>资源节</w:t>
            </w:r>
            <w:r>
              <w:rPr>
                <w:rFonts w:ascii="Times New Roman" w:hAnsi="Times New Roman" w:cs="Times New Roman"/>
                <w:kern w:val="0"/>
                <w:sz w:val="21"/>
                <w:szCs w:val="21"/>
              </w:rPr>
              <w:t>约与 利用</w:t>
            </w:r>
          </w:p>
        </w:tc>
        <w:tc>
          <w:tcPr>
            <w:tcW w:w="805" w:type="dxa"/>
            <w:tcBorders>
              <w:top w:val="single" w:color="auto" w:sz="4" w:space="0"/>
              <w:left w:val="single" w:color="000000" w:sz="4" w:space="0"/>
              <w:bottom w:val="single" w:color="000000" w:sz="4" w:space="0"/>
              <w:right w:val="single" w:color="auto"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17</w:t>
            </w:r>
          </w:p>
        </w:tc>
        <w:tc>
          <w:tcPr>
            <w:tcW w:w="3194" w:type="dxa"/>
            <w:tcBorders>
              <w:top w:val="single" w:color="000000" w:sz="4" w:space="0"/>
              <w:left w:val="single" w:color="auto"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单位地区生产总值能耗</w:t>
            </w:r>
          </w:p>
        </w:tc>
        <w:tc>
          <w:tcPr>
            <w:tcW w:w="101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吨标准煤/万元</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240" w:lineRule="auto"/>
              <w:ind w:right="-29" w:firstLine="0" w:firstLineChars="0"/>
              <w:jc w:val="center"/>
              <w:rPr>
                <w:rFonts w:ascii="Times New Roman" w:hAnsi="Times New Roman" w:cs="Times New Roman"/>
                <w:spacing w:val="-15"/>
                <w:w w:val="95"/>
                <w:kern w:val="0"/>
                <w:sz w:val="21"/>
                <w:szCs w:val="21"/>
              </w:rPr>
            </w:pPr>
            <w:r>
              <w:rPr>
                <w:rFonts w:ascii="Times New Roman" w:hAnsi="Times New Roman" w:cs="Times New Roman"/>
                <w:spacing w:val="-15"/>
                <w:w w:val="95"/>
                <w:kern w:val="0"/>
                <w:sz w:val="21"/>
                <w:szCs w:val="21"/>
              </w:rPr>
              <w:t>完成上级规定的考核任务保持稳定或持续改善</w:t>
            </w:r>
          </w:p>
        </w:tc>
        <w:tc>
          <w:tcPr>
            <w:tcW w:w="98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约束性</w:t>
            </w:r>
          </w:p>
        </w:tc>
        <w:tc>
          <w:tcPr>
            <w:tcW w:w="1016"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市县</w:t>
            </w:r>
          </w:p>
        </w:tc>
        <w:tc>
          <w:tcPr>
            <w:tcW w:w="1327"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0.2985</w:t>
            </w:r>
          </w:p>
        </w:tc>
        <w:tc>
          <w:tcPr>
            <w:tcW w:w="1135"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0.28</w:t>
            </w:r>
          </w:p>
        </w:tc>
        <w:tc>
          <w:tcPr>
            <w:tcW w:w="1313"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保持稳定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7" w:hRule="atLeast"/>
          <w:jc w:val="center"/>
        </w:trPr>
        <w:tc>
          <w:tcPr>
            <w:tcW w:w="596" w:type="dxa"/>
            <w:vMerge w:val="continue"/>
            <w:tcBorders>
              <w:top w:val="nil"/>
              <w:left w:val="single" w:color="auto" w:sz="4" w:space="0"/>
              <w:bottom w:val="single" w:color="000000" w:sz="4" w:space="0"/>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767" w:type="dxa"/>
            <w:vMerge w:val="continue"/>
            <w:tcBorders>
              <w:top w:val="nil"/>
              <w:left w:val="single" w:color="000000" w:sz="4" w:space="0"/>
              <w:bottom w:val="single" w:color="000000" w:sz="4" w:space="0"/>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805" w:type="dxa"/>
            <w:tcBorders>
              <w:top w:val="single" w:color="000000" w:sz="4" w:space="0"/>
              <w:left w:val="single" w:color="000000" w:sz="4" w:space="0"/>
              <w:bottom w:val="single" w:color="000000" w:sz="4" w:space="0"/>
              <w:right w:val="single" w:color="auto"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18</w:t>
            </w:r>
          </w:p>
        </w:tc>
        <w:tc>
          <w:tcPr>
            <w:tcW w:w="3194" w:type="dxa"/>
            <w:tcBorders>
              <w:top w:val="single" w:color="000000" w:sz="4" w:space="0"/>
              <w:left w:val="single" w:color="auto"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单位地区生产总值用水量</w:t>
            </w:r>
          </w:p>
        </w:tc>
        <w:tc>
          <w:tcPr>
            <w:tcW w:w="101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立方米/万元</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spacing w:val="-18"/>
                <w:kern w:val="0"/>
                <w:sz w:val="21"/>
                <w:szCs w:val="21"/>
              </w:rPr>
              <w:t>完成上级规定的目标</w:t>
            </w:r>
            <w:r>
              <w:rPr>
                <w:rFonts w:ascii="Times New Roman" w:hAnsi="Times New Roman" w:cs="Times New Roman"/>
                <w:spacing w:val="-19"/>
                <w:kern w:val="0"/>
                <w:sz w:val="21"/>
                <w:szCs w:val="21"/>
              </w:rPr>
              <w:t>任务；</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spacing w:val="-19"/>
                <w:kern w:val="0"/>
                <w:sz w:val="21"/>
                <w:szCs w:val="21"/>
              </w:rPr>
              <w:t>保持稳定或持</w:t>
            </w:r>
            <w:r>
              <w:rPr>
                <w:rFonts w:ascii="Times New Roman" w:hAnsi="Times New Roman" w:cs="Times New Roman"/>
                <w:spacing w:val="-14"/>
                <w:kern w:val="0"/>
                <w:sz w:val="21"/>
                <w:szCs w:val="21"/>
              </w:rPr>
              <w:t>续改善</w:t>
            </w:r>
          </w:p>
        </w:tc>
        <w:tc>
          <w:tcPr>
            <w:tcW w:w="98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约束性</w:t>
            </w:r>
          </w:p>
        </w:tc>
        <w:tc>
          <w:tcPr>
            <w:tcW w:w="1016"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市县</w:t>
            </w:r>
          </w:p>
        </w:tc>
        <w:tc>
          <w:tcPr>
            <w:tcW w:w="1327"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w w:val="99"/>
                <w:kern w:val="0"/>
                <w:sz w:val="21"/>
                <w:szCs w:val="21"/>
              </w:rPr>
            </w:pPr>
            <w:r>
              <w:rPr>
                <w:rFonts w:ascii="Times New Roman" w:hAnsi="Times New Roman" w:cs="Times New Roman"/>
                <w:spacing w:val="-18"/>
                <w:kern w:val="0"/>
                <w:sz w:val="21"/>
                <w:szCs w:val="21"/>
              </w:rPr>
              <w:t>81.29</w:t>
            </w:r>
          </w:p>
        </w:tc>
        <w:tc>
          <w:tcPr>
            <w:tcW w:w="1135"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80</w:t>
            </w:r>
          </w:p>
        </w:tc>
        <w:tc>
          <w:tcPr>
            <w:tcW w:w="1313"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52" w:hRule="atLeast"/>
          <w:jc w:val="center"/>
        </w:trPr>
        <w:tc>
          <w:tcPr>
            <w:tcW w:w="596" w:type="dxa"/>
            <w:vMerge w:val="continue"/>
            <w:tcBorders>
              <w:top w:val="nil"/>
              <w:left w:val="single" w:color="auto" w:sz="4" w:space="0"/>
              <w:bottom w:val="single" w:color="000000" w:sz="4" w:space="0"/>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767" w:type="dxa"/>
            <w:vMerge w:val="continue"/>
            <w:tcBorders>
              <w:top w:val="nil"/>
              <w:left w:val="single" w:color="000000" w:sz="4" w:space="0"/>
              <w:bottom w:val="single" w:color="000000" w:sz="4" w:space="0"/>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805" w:type="dxa"/>
            <w:tcBorders>
              <w:top w:val="single" w:color="000000" w:sz="4" w:space="0"/>
              <w:left w:val="single" w:color="000000" w:sz="4" w:space="0"/>
              <w:right w:val="single" w:color="auto"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19</w:t>
            </w:r>
          </w:p>
        </w:tc>
        <w:tc>
          <w:tcPr>
            <w:tcW w:w="3194" w:type="dxa"/>
            <w:tcBorders>
              <w:top w:val="single" w:color="000000" w:sz="4" w:space="0"/>
              <w:left w:val="single" w:color="auto"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单位国内生产总值建设用地使用面积下降率</w:t>
            </w:r>
          </w:p>
        </w:tc>
        <w:tc>
          <w:tcPr>
            <w:tcW w:w="1016" w:type="dxa"/>
            <w:tcBorders>
              <w:top w:val="single" w:color="000000" w:sz="4" w:space="0"/>
              <w:left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w:t>
            </w:r>
          </w:p>
        </w:tc>
        <w:tc>
          <w:tcPr>
            <w:tcW w:w="1480" w:type="dxa"/>
            <w:tcBorders>
              <w:top w:val="single" w:color="000000" w:sz="4" w:space="0"/>
              <w:left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w w:val="99"/>
                <w:kern w:val="0"/>
                <w:sz w:val="21"/>
                <w:szCs w:val="21"/>
              </w:rPr>
            </w:pPr>
            <w:r>
              <w:rPr>
                <w:rFonts w:ascii="Times New Roman" w:hAnsi="Times New Roman" w:cs="Times New Roman"/>
                <w:w w:val="99"/>
                <w:kern w:val="0"/>
                <w:sz w:val="21"/>
                <w:szCs w:val="21"/>
              </w:rPr>
              <w:t>≥4.5</w:t>
            </w:r>
          </w:p>
        </w:tc>
        <w:tc>
          <w:tcPr>
            <w:tcW w:w="988" w:type="dxa"/>
            <w:tcBorders>
              <w:top w:val="single" w:color="000000" w:sz="4" w:space="0"/>
              <w:left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w w:val="99"/>
                <w:kern w:val="0"/>
                <w:sz w:val="21"/>
                <w:szCs w:val="21"/>
              </w:rPr>
            </w:pPr>
            <w:r>
              <w:rPr>
                <w:rFonts w:ascii="Times New Roman" w:hAnsi="Times New Roman" w:cs="Times New Roman"/>
                <w:w w:val="99"/>
                <w:kern w:val="0"/>
                <w:sz w:val="21"/>
                <w:szCs w:val="21"/>
              </w:rPr>
              <w:t>参考性</w:t>
            </w:r>
          </w:p>
        </w:tc>
        <w:tc>
          <w:tcPr>
            <w:tcW w:w="1016" w:type="dxa"/>
            <w:tcBorders>
              <w:top w:val="single" w:color="000000" w:sz="4" w:space="0"/>
              <w:lef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市县</w:t>
            </w:r>
          </w:p>
        </w:tc>
        <w:tc>
          <w:tcPr>
            <w:tcW w:w="1327"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92.86%</w:t>
            </w:r>
          </w:p>
        </w:tc>
        <w:tc>
          <w:tcPr>
            <w:tcW w:w="1135" w:type="dxa"/>
            <w:tcBorders>
              <w:top w:val="single" w:color="000000" w:sz="4" w:space="0"/>
              <w:lef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4.5%</w:t>
            </w:r>
          </w:p>
        </w:tc>
        <w:tc>
          <w:tcPr>
            <w:tcW w:w="1313"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40" w:hRule="atLeast"/>
          <w:jc w:val="center"/>
        </w:trPr>
        <w:tc>
          <w:tcPr>
            <w:tcW w:w="596" w:type="dxa"/>
            <w:vMerge w:val="continue"/>
            <w:tcBorders>
              <w:top w:val="nil"/>
              <w:left w:val="single" w:color="auto" w:sz="4" w:space="0"/>
              <w:bottom w:val="single" w:color="auto" w:sz="4" w:space="0"/>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767" w:type="dxa"/>
            <w:vMerge w:val="restart"/>
            <w:tcBorders>
              <w:top w:val="single" w:color="000000" w:sz="4" w:space="0"/>
              <w:left w:val="single" w:color="000000" w:sz="4" w:space="0"/>
              <w:bottom w:val="single" w:color="auto"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（七） 产业循环发展</w:t>
            </w:r>
          </w:p>
        </w:tc>
        <w:tc>
          <w:tcPr>
            <w:tcW w:w="805" w:type="dxa"/>
            <w:tcBorders>
              <w:top w:val="single" w:color="000000" w:sz="4" w:space="0"/>
              <w:left w:val="single" w:color="000000" w:sz="4" w:space="0"/>
              <w:right w:val="single" w:color="auto" w:sz="4" w:space="0"/>
            </w:tcBorders>
            <w:vAlign w:val="center"/>
          </w:tcPr>
          <w:p>
            <w:pPr>
              <w:spacing w:line="240" w:lineRule="auto"/>
              <w:ind w:firstLine="420"/>
              <w:jc w:val="center"/>
              <w:rPr>
                <w:rFonts w:ascii="Times New Roman" w:hAnsi="Times New Roman" w:cs="Times New Roman"/>
                <w:kern w:val="0"/>
                <w:sz w:val="21"/>
                <w:szCs w:val="21"/>
              </w:rPr>
            </w:pPr>
            <w:r>
              <w:rPr>
                <w:rFonts w:ascii="Times New Roman" w:hAnsi="Times New Roman" w:cs="Times New Roman"/>
                <w:kern w:val="0"/>
                <w:sz w:val="21"/>
                <w:szCs w:val="21"/>
              </w:rPr>
              <w:t>20</w:t>
            </w:r>
          </w:p>
        </w:tc>
        <w:tc>
          <w:tcPr>
            <w:tcW w:w="3194" w:type="dxa"/>
            <w:tcBorders>
              <w:top w:val="single" w:color="000000" w:sz="4" w:space="0"/>
              <w:left w:val="single" w:color="auto"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农业废弃物综合利用率</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秸秆综合利用率</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畜禽粪污综合利用率</w:t>
            </w:r>
          </w:p>
          <w:p>
            <w:pPr>
              <w:spacing w:line="240" w:lineRule="auto"/>
              <w:ind w:firstLine="0" w:firstLineChars="0"/>
              <w:jc w:val="center"/>
              <w:rPr>
                <w:rFonts w:ascii="Times New Roman" w:hAnsi="Times New Roman" w:cs="Times New Roman"/>
                <w:spacing w:val="-2"/>
                <w:kern w:val="0"/>
                <w:sz w:val="21"/>
                <w:szCs w:val="21"/>
              </w:rPr>
            </w:pPr>
            <w:r>
              <w:rPr>
                <w:rFonts w:ascii="Times New Roman" w:hAnsi="Times New Roman" w:cs="Times New Roman"/>
                <w:kern w:val="0"/>
                <w:sz w:val="21"/>
                <w:szCs w:val="21"/>
              </w:rPr>
              <w:t>农膜回收利用率</w:t>
            </w:r>
          </w:p>
        </w:tc>
        <w:tc>
          <w:tcPr>
            <w:tcW w:w="1016" w:type="dxa"/>
            <w:tcBorders>
              <w:top w:val="single" w:color="000000" w:sz="4" w:space="0"/>
              <w:left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w:t>
            </w:r>
          </w:p>
        </w:tc>
        <w:tc>
          <w:tcPr>
            <w:tcW w:w="1480" w:type="dxa"/>
            <w:tcBorders>
              <w:top w:val="single" w:color="000000" w:sz="4" w:space="0"/>
              <w:left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≥90</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≥75</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≥80</w:t>
            </w:r>
          </w:p>
        </w:tc>
        <w:tc>
          <w:tcPr>
            <w:tcW w:w="988" w:type="dxa"/>
            <w:tcBorders>
              <w:top w:val="single" w:color="000000" w:sz="4" w:space="0"/>
              <w:left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参考性</w:t>
            </w:r>
          </w:p>
        </w:tc>
        <w:tc>
          <w:tcPr>
            <w:tcW w:w="1016" w:type="dxa"/>
            <w:tcBorders>
              <w:top w:val="single" w:color="000000" w:sz="4" w:space="0"/>
              <w:lef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县</w:t>
            </w:r>
          </w:p>
        </w:tc>
        <w:tc>
          <w:tcPr>
            <w:tcW w:w="1327" w:type="dxa"/>
            <w:tcBorders>
              <w:top w:val="single" w:color="000000" w:sz="4" w:space="0"/>
              <w:lef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90%</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80%</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90%</w:t>
            </w:r>
          </w:p>
        </w:tc>
        <w:tc>
          <w:tcPr>
            <w:tcW w:w="1135" w:type="dxa"/>
            <w:tcBorders>
              <w:top w:val="single" w:color="000000" w:sz="4" w:space="0"/>
              <w:lef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95%</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85%</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90%</w:t>
            </w:r>
          </w:p>
        </w:tc>
        <w:tc>
          <w:tcPr>
            <w:tcW w:w="1313" w:type="dxa"/>
            <w:tcBorders>
              <w:top w:val="single" w:color="000000" w:sz="4" w:space="0"/>
              <w:lef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95%</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85%</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13" w:hRule="atLeast"/>
          <w:jc w:val="center"/>
        </w:trPr>
        <w:tc>
          <w:tcPr>
            <w:tcW w:w="596" w:type="dxa"/>
            <w:vMerge w:val="continue"/>
            <w:tcBorders>
              <w:top w:val="single" w:color="auto" w:sz="4" w:space="0"/>
              <w:left w:val="single" w:color="auto" w:sz="4" w:space="0"/>
              <w:bottom w:val="single" w:color="000000" w:sz="4" w:space="0"/>
              <w:right w:val="single" w:color="000000" w:sz="4" w:space="0"/>
            </w:tcBorders>
          </w:tcPr>
          <w:p>
            <w:pPr>
              <w:spacing w:line="240" w:lineRule="auto"/>
              <w:ind w:firstLine="420"/>
              <w:jc w:val="center"/>
              <w:rPr>
                <w:rFonts w:ascii="Times New Roman" w:hAnsi="Times New Roman" w:cs="Times New Roman"/>
                <w:kern w:val="0"/>
                <w:sz w:val="21"/>
                <w:szCs w:val="21"/>
              </w:rPr>
            </w:pPr>
          </w:p>
        </w:tc>
        <w:tc>
          <w:tcPr>
            <w:tcW w:w="767" w:type="dxa"/>
            <w:vMerge w:val="continue"/>
            <w:tcBorders>
              <w:top w:val="single" w:color="auto" w:sz="4" w:space="0"/>
              <w:left w:val="single" w:color="000000" w:sz="4" w:space="0"/>
              <w:bottom w:val="single" w:color="000000" w:sz="4" w:space="0"/>
              <w:right w:val="single" w:color="000000" w:sz="4" w:space="0"/>
            </w:tcBorders>
          </w:tcPr>
          <w:p>
            <w:pPr>
              <w:spacing w:line="240" w:lineRule="auto"/>
              <w:ind w:firstLine="420"/>
              <w:jc w:val="center"/>
              <w:rPr>
                <w:rFonts w:ascii="Times New Roman" w:hAnsi="Times New Roman" w:cs="Times New Roman"/>
                <w:kern w:val="0"/>
                <w:sz w:val="21"/>
                <w:szCs w:val="21"/>
              </w:rPr>
            </w:pPr>
          </w:p>
        </w:tc>
        <w:tc>
          <w:tcPr>
            <w:tcW w:w="805" w:type="dxa"/>
            <w:tcBorders>
              <w:top w:val="single" w:color="auto"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21</w:t>
            </w:r>
          </w:p>
        </w:tc>
        <w:tc>
          <w:tcPr>
            <w:tcW w:w="319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w w:val="99"/>
                <w:kern w:val="0"/>
                <w:sz w:val="21"/>
                <w:szCs w:val="21"/>
              </w:rPr>
            </w:pPr>
            <w:r>
              <w:rPr>
                <w:rFonts w:ascii="Times New Roman" w:hAnsi="Times New Roman" w:cs="Times New Roman"/>
                <w:w w:val="99"/>
                <w:kern w:val="0"/>
                <w:sz w:val="21"/>
                <w:szCs w:val="21"/>
              </w:rPr>
              <w:t>一般工业固体废物综合利用率</w:t>
            </w:r>
          </w:p>
        </w:tc>
        <w:tc>
          <w:tcPr>
            <w:tcW w:w="101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w w:val="99"/>
                <w:kern w:val="0"/>
                <w:sz w:val="21"/>
                <w:szCs w:val="21"/>
              </w:rPr>
            </w:pPr>
            <w:r>
              <w:rPr>
                <w:rFonts w:ascii="Times New Roman" w:hAnsi="Times New Roman" w:cs="Times New Roman"/>
                <w:w w:val="99"/>
                <w:kern w:val="0"/>
                <w:sz w:val="21"/>
                <w:szCs w:val="21"/>
              </w:rPr>
              <w:t>%</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w w:val="99"/>
                <w:kern w:val="0"/>
                <w:sz w:val="21"/>
                <w:szCs w:val="21"/>
              </w:rPr>
            </w:pPr>
            <w:r>
              <w:rPr>
                <w:rFonts w:ascii="Times New Roman" w:hAnsi="Times New Roman" w:cs="Times New Roman"/>
                <w:w w:val="99"/>
                <w:kern w:val="0"/>
                <w:sz w:val="21"/>
                <w:szCs w:val="21"/>
              </w:rPr>
              <w:t>≥80</w:t>
            </w:r>
          </w:p>
        </w:tc>
        <w:tc>
          <w:tcPr>
            <w:tcW w:w="98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参考性</w:t>
            </w:r>
          </w:p>
        </w:tc>
        <w:tc>
          <w:tcPr>
            <w:tcW w:w="1016"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w w:val="99"/>
                <w:kern w:val="0"/>
                <w:sz w:val="21"/>
                <w:szCs w:val="21"/>
              </w:rPr>
            </w:pPr>
            <w:r>
              <w:rPr>
                <w:rFonts w:ascii="Times New Roman" w:hAnsi="Times New Roman" w:cs="Times New Roman"/>
                <w:w w:val="99"/>
                <w:kern w:val="0"/>
                <w:sz w:val="21"/>
                <w:szCs w:val="21"/>
              </w:rPr>
              <w:t>市县</w:t>
            </w:r>
          </w:p>
        </w:tc>
        <w:tc>
          <w:tcPr>
            <w:tcW w:w="1327"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w w:val="99"/>
                <w:kern w:val="0"/>
                <w:sz w:val="21"/>
                <w:szCs w:val="21"/>
              </w:rPr>
            </w:pPr>
            <w:r>
              <w:rPr>
                <w:rFonts w:ascii="Times New Roman" w:hAnsi="Times New Roman" w:cs="Times New Roman"/>
                <w:w w:val="99"/>
                <w:kern w:val="0"/>
                <w:sz w:val="21"/>
                <w:szCs w:val="21"/>
              </w:rPr>
              <w:t>100%</w:t>
            </w:r>
          </w:p>
        </w:tc>
        <w:tc>
          <w:tcPr>
            <w:tcW w:w="1135" w:type="dxa"/>
            <w:tcBorders>
              <w:top w:val="single" w:color="000000" w:sz="4" w:space="0"/>
              <w:left w:val="single" w:color="000000" w:sz="4" w:space="0"/>
              <w:bottom w:val="single" w:color="000000" w:sz="4" w:space="0"/>
            </w:tcBorders>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w:t>
            </w:r>
          </w:p>
        </w:tc>
        <w:tc>
          <w:tcPr>
            <w:tcW w:w="1313"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08" w:hRule="atLeast"/>
          <w:jc w:val="center"/>
        </w:trPr>
        <w:tc>
          <w:tcPr>
            <w:tcW w:w="596" w:type="dxa"/>
            <w:vMerge w:val="restart"/>
            <w:tcBorders>
              <w:top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生态生活</w:t>
            </w:r>
          </w:p>
          <w:p>
            <w:pPr>
              <w:spacing w:line="240" w:lineRule="auto"/>
              <w:ind w:firstLine="420"/>
              <w:jc w:val="center"/>
              <w:rPr>
                <w:rFonts w:ascii="Times New Roman" w:hAnsi="Times New Roman" w:cs="Times New Roman"/>
                <w:kern w:val="0"/>
                <w:sz w:val="21"/>
                <w:szCs w:val="21"/>
              </w:rPr>
            </w:pPr>
          </w:p>
        </w:tc>
        <w:tc>
          <w:tcPr>
            <w:tcW w:w="767" w:type="dxa"/>
            <w:vMerge w:val="restart"/>
            <w:tcBorders>
              <w:top w:val="single" w:color="000000" w:sz="4" w:space="0"/>
              <w:left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（八） 人居环境改善</w:t>
            </w:r>
          </w:p>
        </w:tc>
        <w:tc>
          <w:tcPr>
            <w:tcW w:w="80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22</w:t>
            </w:r>
          </w:p>
        </w:tc>
        <w:tc>
          <w:tcPr>
            <w:tcW w:w="319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w w:val="99"/>
                <w:kern w:val="0"/>
                <w:sz w:val="21"/>
                <w:szCs w:val="21"/>
              </w:rPr>
            </w:pPr>
            <w:r>
              <w:rPr>
                <w:rFonts w:ascii="Times New Roman" w:hAnsi="Times New Roman" w:cs="Times New Roman"/>
                <w:w w:val="99"/>
                <w:kern w:val="0"/>
                <w:sz w:val="21"/>
                <w:szCs w:val="21"/>
              </w:rPr>
              <w:t>集中式饮用水水源地水质优良比例</w:t>
            </w:r>
          </w:p>
        </w:tc>
        <w:tc>
          <w:tcPr>
            <w:tcW w:w="101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w w:val="99"/>
                <w:kern w:val="0"/>
                <w:sz w:val="21"/>
                <w:szCs w:val="21"/>
              </w:rPr>
            </w:pPr>
            <w:r>
              <w:rPr>
                <w:rFonts w:ascii="Times New Roman" w:hAnsi="Times New Roman" w:cs="Times New Roman"/>
                <w:w w:val="99"/>
                <w:kern w:val="0"/>
                <w:sz w:val="21"/>
                <w:szCs w:val="21"/>
              </w:rPr>
              <w:t>%</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w w:val="99"/>
                <w:kern w:val="0"/>
                <w:sz w:val="21"/>
                <w:szCs w:val="21"/>
              </w:rPr>
            </w:pPr>
            <w:r>
              <w:rPr>
                <w:rFonts w:ascii="Times New Roman" w:hAnsi="Times New Roman" w:cs="Times New Roman"/>
                <w:w w:val="99"/>
                <w:kern w:val="0"/>
                <w:sz w:val="21"/>
                <w:szCs w:val="21"/>
              </w:rPr>
              <w:t>100</w:t>
            </w:r>
          </w:p>
        </w:tc>
        <w:tc>
          <w:tcPr>
            <w:tcW w:w="98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w w:val="99"/>
                <w:kern w:val="0"/>
                <w:sz w:val="21"/>
                <w:szCs w:val="21"/>
              </w:rPr>
            </w:pPr>
            <w:r>
              <w:rPr>
                <w:rFonts w:ascii="Times New Roman" w:hAnsi="Times New Roman" w:cs="Times New Roman"/>
                <w:w w:val="99"/>
                <w:kern w:val="0"/>
                <w:sz w:val="21"/>
                <w:szCs w:val="21"/>
              </w:rPr>
              <w:t>约束性</w:t>
            </w:r>
          </w:p>
        </w:tc>
        <w:tc>
          <w:tcPr>
            <w:tcW w:w="1016"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w w:val="99"/>
                <w:kern w:val="0"/>
                <w:sz w:val="21"/>
                <w:szCs w:val="21"/>
              </w:rPr>
            </w:pPr>
            <w:r>
              <w:rPr>
                <w:rFonts w:ascii="Times New Roman" w:hAnsi="Times New Roman" w:cs="Times New Roman"/>
                <w:w w:val="99"/>
                <w:kern w:val="0"/>
                <w:sz w:val="21"/>
                <w:szCs w:val="21"/>
              </w:rPr>
              <w:t>市县</w:t>
            </w:r>
          </w:p>
        </w:tc>
        <w:tc>
          <w:tcPr>
            <w:tcW w:w="1327"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w w:val="99"/>
                <w:kern w:val="0"/>
                <w:sz w:val="21"/>
                <w:szCs w:val="21"/>
              </w:rPr>
            </w:pPr>
            <w:r>
              <w:rPr>
                <w:rFonts w:ascii="Times New Roman" w:hAnsi="Times New Roman" w:cs="Times New Roman"/>
                <w:w w:val="99"/>
                <w:kern w:val="0"/>
                <w:sz w:val="21"/>
                <w:szCs w:val="21"/>
              </w:rPr>
              <w:t>100%</w:t>
            </w:r>
          </w:p>
        </w:tc>
        <w:tc>
          <w:tcPr>
            <w:tcW w:w="1135"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w:t>
            </w:r>
          </w:p>
        </w:tc>
        <w:tc>
          <w:tcPr>
            <w:tcW w:w="1313"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03" w:hRule="atLeast"/>
          <w:jc w:val="center"/>
        </w:trPr>
        <w:tc>
          <w:tcPr>
            <w:tcW w:w="596" w:type="dxa"/>
            <w:vMerge w:val="continue"/>
            <w:tcBorders>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767" w:type="dxa"/>
            <w:vMerge w:val="continue"/>
            <w:tcBorders>
              <w:top w:val="nil"/>
              <w:left w:val="single" w:color="000000" w:sz="4" w:space="0"/>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80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23</w:t>
            </w:r>
          </w:p>
        </w:tc>
        <w:tc>
          <w:tcPr>
            <w:tcW w:w="319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村镇饮用水卫生合格率</w:t>
            </w:r>
          </w:p>
        </w:tc>
        <w:tc>
          <w:tcPr>
            <w:tcW w:w="101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w:t>
            </w:r>
          </w:p>
        </w:tc>
        <w:tc>
          <w:tcPr>
            <w:tcW w:w="98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约束性</w:t>
            </w:r>
          </w:p>
        </w:tc>
        <w:tc>
          <w:tcPr>
            <w:tcW w:w="1016"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县</w:t>
            </w:r>
          </w:p>
        </w:tc>
        <w:tc>
          <w:tcPr>
            <w:tcW w:w="1327"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w w:val="99"/>
                <w:kern w:val="0"/>
                <w:sz w:val="21"/>
                <w:szCs w:val="21"/>
              </w:rPr>
            </w:pPr>
            <w:r>
              <w:rPr>
                <w:rFonts w:ascii="Times New Roman" w:hAnsi="Times New Roman" w:cs="Times New Roman"/>
                <w:w w:val="99"/>
                <w:kern w:val="0"/>
                <w:sz w:val="21"/>
                <w:szCs w:val="21"/>
              </w:rPr>
              <w:t>100%</w:t>
            </w:r>
          </w:p>
        </w:tc>
        <w:tc>
          <w:tcPr>
            <w:tcW w:w="1135"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w:t>
            </w:r>
          </w:p>
        </w:tc>
        <w:tc>
          <w:tcPr>
            <w:tcW w:w="1313" w:type="dxa"/>
            <w:tcBorders>
              <w:top w:val="single" w:color="000000" w:sz="4" w:space="0"/>
              <w:left w:val="single" w:color="000000" w:sz="4" w:space="0"/>
              <w:bottom w:val="single" w:color="000000" w:sz="4" w:space="0"/>
            </w:tcBorders>
            <w:vAlign w:val="center"/>
          </w:tcPr>
          <w:p>
            <w:pPr>
              <w:spacing w:line="240" w:lineRule="auto"/>
              <w:ind w:firstLine="201" w:firstLineChars="96"/>
              <w:jc w:val="center"/>
              <w:rPr>
                <w:rFonts w:ascii="Times New Roman" w:hAnsi="Times New Roman" w:cs="Times New Roman"/>
                <w:kern w:val="0"/>
                <w:sz w:val="21"/>
                <w:szCs w:val="21"/>
              </w:rPr>
            </w:pPr>
            <w:r>
              <w:rPr>
                <w:rFonts w:ascii="Times New Roman" w:hAnsi="Times New Roman" w:cs="Times New Roman"/>
                <w:kern w:val="0"/>
                <w:sz w:val="21"/>
                <w:szCs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0" w:hRule="atLeast"/>
          <w:jc w:val="center"/>
        </w:trPr>
        <w:tc>
          <w:tcPr>
            <w:tcW w:w="596" w:type="dxa"/>
            <w:vMerge w:val="continue"/>
            <w:tcBorders>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767" w:type="dxa"/>
            <w:vMerge w:val="continue"/>
            <w:tcBorders>
              <w:top w:val="nil"/>
              <w:left w:val="single" w:color="000000" w:sz="4" w:space="0"/>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80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24</w:t>
            </w:r>
          </w:p>
        </w:tc>
        <w:tc>
          <w:tcPr>
            <w:tcW w:w="319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城镇污水处理率</w:t>
            </w:r>
          </w:p>
        </w:tc>
        <w:tc>
          <w:tcPr>
            <w:tcW w:w="101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5"/>
                <w:kern w:val="0"/>
                <w:sz w:val="21"/>
                <w:szCs w:val="21"/>
              </w:rPr>
              <w:t>县≥85</w:t>
            </w:r>
          </w:p>
        </w:tc>
        <w:tc>
          <w:tcPr>
            <w:tcW w:w="98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约束性</w:t>
            </w:r>
          </w:p>
        </w:tc>
        <w:tc>
          <w:tcPr>
            <w:tcW w:w="1016"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市县</w:t>
            </w:r>
          </w:p>
        </w:tc>
        <w:tc>
          <w:tcPr>
            <w:tcW w:w="1327"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w w:val="99"/>
                <w:kern w:val="0"/>
                <w:sz w:val="21"/>
                <w:szCs w:val="21"/>
              </w:rPr>
            </w:pPr>
            <w:r>
              <w:rPr>
                <w:rFonts w:ascii="Times New Roman" w:hAnsi="Times New Roman" w:cs="Times New Roman"/>
                <w:w w:val="99"/>
                <w:kern w:val="0"/>
                <w:sz w:val="21"/>
                <w:szCs w:val="21"/>
              </w:rPr>
              <w:t>84.4%</w:t>
            </w:r>
          </w:p>
        </w:tc>
        <w:tc>
          <w:tcPr>
            <w:tcW w:w="1135"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85%</w:t>
            </w:r>
          </w:p>
        </w:tc>
        <w:tc>
          <w:tcPr>
            <w:tcW w:w="1313"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4" w:hRule="atLeast"/>
          <w:jc w:val="center"/>
        </w:trPr>
        <w:tc>
          <w:tcPr>
            <w:tcW w:w="596" w:type="dxa"/>
            <w:vMerge w:val="continue"/>
            <w:tcBorders>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p>
        </w:tc>
        <w:tc>
          <w:tcPr>
            <w:tcW w:w="767" w:type="dxa"/>
            <w:vMerge w:val="continue"/>
            <w:tcBorders>
              <w:top w:val="nil"/>
              <w:left w:val="single" w:color="000000" w:sz="4" w:space="0"/>
              <w:bottom w:val="single" w:color="auto"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p>
        </w:tc>
        <w:tc>
          <w:tcPr>
            <w:tcW w:w="805" w:type="dxa"/>
            <w:tcBorders>
              <w:top w:val="single" w:color="000000" w:sz="4" w:space="0"/>
              <w:left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25</w:t>
            </w:r>
          </w:p>
        </w:tc>
        <w:tc>
          <w:tcPr>
            <w:tcW w:w="3194" w:type="dxa"/>
            <w:tcBorders>
              <w:top w:val="single" w:color="000000" w:sz="4" w:space="0"/>
              <w:left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城镇生活垃圾无害化处理率</w:t>
            </w:r>
          </w:p>
        </w:tc>
        <w:tc>
          <w:tcPr>
            <w:tcW w:w="1016" w:type="dxa"/>
            <w:tcBorders>
              <w:top w:val="single" w:color="000000" w:sz="4" w:space="0"/>
              <w:left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w:t>
            </w:r>
          </w:p>
        </w:tc>
        <w:tc>
          <w:tcPr>
            <w:tcW w:w="1480" w:type="dxa"/>
            <w:tcBorders>
              <w:top w:val="single" w:color="000000" w:sz="4" w:space="0"/>
              <w:left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县≥80</w:t>
            </w:r>
          </w:p>
        </w:tc>
        <w:tc>
          <w:tcPr>
            <w:tcW w:w="988" w:type="dxa"/>
            <w:tcBorders>
              <w:top w:val="single" w:color="000000" w:sz="4" w:space="0"/>
              <w:left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约束性</w:t>
            </w:r>
          </w:p>
        </w:tc>
        <w:tc>
          <w:tcPr>
            <w:tcW w:w="1016" w:type="dxa"/>
            <w:tcBorders>
              <w:top w:val="single" w:color="000000" w:sz="4" w:space="0"/>
              <w:lef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市县</w:t>
            </w:r>
          </w:p>
        </w:tc>
        <w:tc>
          <w:tcPr>
            <w:tcW w:w="1327" w:type="dxa"/>
            <w:tcBorders>
              <w:top w:val="single" w:color="000000" w:sz="4" w:space="0"/>
              <w:lef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w:t>
            </w:r>
          </w:p>
        </w:tc>
        <w:tc>
          <w:tcPr>
            <w:tcW w:w="1135" w:type="dxa"/>
            <w:tcBorders>
              <w:top w:val="single" w:color="000000" w:sz="4" w:space="0"/>
              <w:lef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w:t>
            </w:r>
          </w:p>
        </w:tc>
        <w:tc>
          <w:tcPr>
            <w:tcW w:w="1313" w:type="dxa"/>
            <w:tcBorders>
              <w:top w:val="single" w:color="000000" w:sz="4" w:space="0"/>
              <w:lef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9" w:hRule="atLeast"/>
          <w:jc w:val="center"/>
        </w:trPr>
        <w:tc>
          <w:tcPr>
            <w:tcW w:w="596" w:type="dxa"/>
            <w:vMerge w:val="continue"/>
            <w:tcBorders>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767" w:type="dxa"/>
            <w:vMerge w:val="continue"/>
            <w:tcBorders>
              <w:top w:val="nil"/>
              <w:left w:val="single" w:color="000000" w:sz="4" w:space="0"/>
              <w:bottom w:val="single" w:color="000000" w:sz="4" w:space="0"/>
              <w:right w:val="single" w:color="auto" w:sz="4" w:space="0"/>
            </w:tcBorders>
            <w:vAlign w:val="center"/>
          </w:tcPr>
          <w:p>
            <w:pPr>
              <w:spacing w:line="240" w:lineRule="auto"/>
              <w:ind w:firstLine="420"/>
              <w:jc w:val="center"/>
              <w:rPr>
                <w:rFonts w:ascii="Times New Roman" w:hAnsi="Times New Roman" w:cs="Times New Roman"/>
                <w:kern w:val="0"/>
                <w:sz w:val="21"/>
                <w:szCs w:val="21"/>
              </w:rPr>
            </w:pPr>
          </w:p>
        </w:tc>
        <w:tc>
          <w:tcPr>
            <w:tcW w:w="805" w:type="dxa"/>
            <w:tcBorders>
              <w:top w:val="single" w:color="000000" w:sz="4" w:space="0"/>
              <w:left w:val="single" w:color="auto"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26</w:t>
            </w:r>
          </w:p>
        </w:tc>
        <w:tc>
          <w:tcPr>
            <w:tcW w:w="319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农村无害化卫生厕所普及率</w:t>
            </w:r>
          </w:p>
        </w:tc>
        <w:tc>
          <w:tcPr>
            <w:tcW w:w="101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完成上级规定的目标任务</w:t>
            </w:r>
          </w:p>
        </w:tc>
        <w:tc>
          <w:tcPr>
            <w:tcW w:w="98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约束性</w:t>
            </w:r>
          </w:p>
        </w:tc>
        <w:tc>
          <w:tcPr>
            <w:tcW w:w="1016"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县</w:t>
            </w:r>
          </w:p>
        </w:tc>
        <w:tc>
          <w:tcPr>
            <w:tcW w:w="1327"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24%</w:t>
            </w:r>
          </w:p>
        </w:tc>
        <w:tc>
          <w:tcPr>
            <w:tcW w:w="1135"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36%</w:t>
            </w:r>
          </w:p>
        </w:tc>
        <w:tc>
          <w:tcPr>
            <w:tcW w:w="1313"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13" w:hRule="atLeast"/>
          <w:jc w:val="center"/>
        </w:trPr>
        <w:tc>
          <w:tcPr>
            <w:tcW w:w="596" w:type="dxa"/>
            <w:vMerge w:val="continue"/>
            <w:tcBorders>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767" w:type="dxa"/>
            <w:vMerge w:val="restart"/>
            <w:tcBorders>
              <w:top w:val="single" w:color="000000" w:sz="4" w:space="0"/>
              <w:left w:val="single" w:color="000000"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（九</w:t>
            </w:r>
            <w:r>
              <w:rPr>
                <w:rFonts w:ascii="Times New Roman" w:hAnsi="Times New Roman" w:cs="Times New Roman"/>
                <w:spacing w:val="-16"/>
                <w:kern w:val="0"/>
                <w:sz w:val="21"/>
                <w:szCs w:val="21"/>
              </w:rPr>
              <w:t xml:space="preserve">） </w:t>
            </w:r>
            <w:r>
              <w:rPr>
                <w:rFonts w:ascii="Times New Roman" w:hAnsi="Times New Roman" w:cs="Times New Roman"/>
                <w:kern w:val="0"/>
                <w:sz w:val="21"/>
                <w:szCs w:val="21"/>
              </w:rPr>
              <w:t>生活方式</w:t>
            </w:r>
            <w:r>
              <w:rPr>
                <w:rFonts w:ascii="Times New Roman" w:hAnsi="Times New Roman" w:cs="Times New Roman"/>
                <w:spacing w:val="-6"/>
                <w:kern w:val="0"/>
                <w:sz w:val="21"/>
                <w:szCs w:val="21"/>
              </w:rPr>
              <w:t>绿色化</w:t>
            </w:r>
          </w:p>
        </w:tc>
        <w:tc>
          <w:tcPr>
            <w:tcW w:w="805" w:type="dxa"/>
            <w:tcBorders>
              <w:top w:val="single" w:color="000000" w:sz="4" w:space="0"/>
              <w:left w:val="single" w:color="auto"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27</w:t>
            </w:r>
          </w:p>
        </w:tc>
        <w:tc>
          <w:tcPr>
            <w:tcW w:w="319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城镇新建绿色建筑比例</w:t>
            </w:r>
          </w:p>
        </w:tc>
        <w:tc>
          <w:tcPr>
            <w:tcW w:w="101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≥50</w:t>
            </w:r>
          </w:p>
        </w:tc>
        <w:tc>
          <w:tcPr>
            <w:tcW w:w="98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参考性</w:t>
            </w:r>
          </w:p>
        </w:tc>
        <w:tc>
          <w:tcPr>
            <w:tcW w:w="1016"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市县</w:t>
            </w:r>
          </w:p>
        </w:tc>
        <w:tc>
          <w:tcPr>
            <w:tcW w:w="1327"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w w:val="99"/>
                <w:kern w:val="0"/>
                <w:sz w:val="21"/>
                <w:szCs w:val="21"/>
              </w:rPr>
            </w:pPr>
            <w:r>
              <w:rPr>
                <w:rFonts w:ascii="Times New Roman" w:hAnsi="Times New Roman" w:cs="Times New Roman"/>
                <w:w w:val="99"/>
                <w:kern w:val="0"/>
                <w:sz w:val="21"/>
                <w:szCs w:val="21"/>
              </w:rPr>
              <w:t>25.02%</w:t>
            </w:r>
          </w:p>
        </w:tc>
        <w:tc>
          <w:tcPr>
            <w:tcW w:w="1135"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30%</w:t>
            </w:r>
          </w:p>
        </w:tc>
        <w:tc>
          <w:tcPr>
            <w:tcW w:w="1313"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08" w:hRule="atLeast"/>
          <w:jc w:val="center"/>
        </w:trPr>
        <w:tc>
          <w:tcPr>
            <w:tcW w:w="596" w:type="dxa"/>
            <w:vMerge w:val="continue"/>
            <w:tcBorders>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767" w:type="dxa"/>
            <w:vMerge w:val="continue"/>
            <w:tcBorders>
              <w:top w:val="single" w:color="auto" w:sz="4" w:space="0"/>
              <w:left w:val="single" w:color="000000" w:sz="4" w:space="0"/>
              <w:bottom w:val="single" w:color="auto" w:sz="4" w:space="0"/>
              <w:right w:val="single" w:color="auto" w:sz="4" w:space="0"/>
            </w:tcBorders>
            <w:vAlign w:val="center"/>
          </w:tcPr>
          <w:p>
            <w:pPr>
              <w:spacing w:line="240" w:lineRule="auto"/>
              <w:ind w:firstLine="420"/>
              <w:jc w:val="center"/>
              <w:rPr>
                <w:rFonts w:ascii="Times New Roman" w:hAnsi="Times New Roman" w:cs="Times New Roman"/>
                <w:kern w:val="0"/>
                <w:sz w:val="21"/>
                <w:szCs w:val="21"/>
              </w:rPr>
            </w:pPr>
          </w:p>
        </w:tc>
        <w:tc>
          <w:tcPr>
            <w:tcW w:w="805" w:type="dxa"/>
            <w:tcBorders>
              <w:top w:val="single" w:color="000000" w:sz="4" w:space="0"/>
              <w:left w:val="single" w:color="auto"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28</w:t>
            </w:r>
          </w:p>
        </w:tc>
        <w:tc>
          <w:tcPr>
            <w:tcW w:w="319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生活废弃物综合利用</w:t>
            </w:r>
          </w:p>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城镇生活垃圾分类减量化行动农村生活垃圾集中收集储运</w:t>
            </w:r>
          </w:p>
        </w:tc>
        <w:tc>
          <w:tcPr>
            <w:tcW w:w="101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实施</w:t>
            </w:r>
          </w:p>
        </w:tc>
        <w:tc>
          <w:tcPr>
            <w:tcW w:w="98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参考性</w:t>
            </w:r>
          </w:p>
        </w:tc>
        <w:tc>
          <w:tcPr>
            <w:tcW w:w="1016"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市县</w:t>
            </w:r>
          </w:p>
        </w:tc>
        <w:tc>
          <w:tcPr>
            <w:tcW w:w="1327"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w w:val="99"/>
                <w:kern w:val="0"/>
                <w:sz w:val="21"/>
                <w:szCs w:val="21"/>
              </w:rPr>
            </w:pPr>
            <w:r>
              <w:rPr>
                <w:rFonts w:ascii="Times New Roman" w:hAnsi="Times New Roman" w:cs="Times New Roman"/>
                <w:kern w:val="0"/>
                <w:sz w:val="21"/>
                <w:szCs w:val="21"/>
              </w:rPr>
              <w:t>实施</w:t>
            </w:r>
          </w:p>
        </w:tc>
        <w:tc>
          <w:tcPr>
            <w:tcW w:w="1135"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实施</w:t>
            </w:r>
          </w:p>
        </w:tc>
        <w:tc>
          <w:tcPr>
            <w:tcW w:w="1313"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实施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13" w:hRule="atLeast"/>
          <w:jc w:val="center"/>
        </w:trPr>
        <w:tc>
          <w:tcPr>
            <w:tcW w:w="596" w:type="dxa"/>
            <w:vMerge w:val="continue"/>
            <w:tcBorders>
              <w:bottom w:val="single" w:color="auto" w:sz="4" w:space="0"/>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767" w:type="dxa"/>
            <w:vMerge w:val="continue"/>
            <w:tcBorders>
              <w:top w:val="single" w:color="auto" w:sz="4" w:space="0"/>
              <w:left w:val="single" w:color="000000" w:sz="4" w:space="0"/>
              <w:bottom w:val="single" w:color="auto" w:sz="4" w:space="0"/>
              <w:right w:val="single" w:color="auto" w:sz="4" w:space="0"/>
            </w:tcBorders>
            <w:vAlign w:val="center"/>
          </w:tcPr>
          <w:p>
            <w:pPr>
              <w:spacing w:line="240" w:lineRule="auto"/>
              <w:ind w:firstLine="420"/>
              <w:jc w:val="center"/>
              <w:rPr>
                <w:rFonts w:ascii="Times New Roman" w:hAnsi="Times New Roman" w:cs="Times New Roman"/>
                <w:kern w:val="0"/>
                <w:sz w:val="21"/>
                <w:szCs w:val="21"/>
              </w:rPr>
            </w:pPr>
          </w:p>
        </w:tc>
        <w:tc>
          <w:tcPr>
            <w:tcW w:w="805" w:type="dxa"/>
            <w:tcBorders>
              <w:top w:val="single" w:color="000000" w:sz="4" w:space="0"/>
              <w:left w:val="single" w:color="auto"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29</w:t>
            </w:r>
          </w:p>
        </w:tc>
        <w:tc>
          <w:tcPr>
            <w:tcW w:w="319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政府绿色采购比例</w:t>
            </w:r>
          </w:p>
        </w:tc>
        <w:tc>
          <w:tcPr>
            <w:tcW w:w="101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≥80</w:t>
            </w:r>
          </w:p>
        </w:tc>
        <w:tc>
          <w:tcPr>
            <w:tcW w:w="98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约束性</w:t>
            </w:r>
          </w:p>
        </w:tc>
        <w:tc>
          <w:tcPr>
            <w:tcW w:w="1016"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市县</w:t>
            </w:r>
          </w:p>
        </w:tc>
        <w:tc>
          <w:tcPr>
            <w:tcW w:w="1327"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81.7%</w:t>
            </w:r>
          </w:p>
        </w:tc>
        <w:tc>
          <w:tcPr>
            <w:tcW w:w="1135"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82%</w:t>
            </w:r>
          </w:p>
        </w:tc>
        <w:tc>
          <w:tcPr>
            <w:tcW w:w="1313"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77" w:hRule="atLeast"/>
          <w:jc w:val="center"/>
        </w:trPr>
        <w:tc>
          <w:tcPr>
            <w:tcW w:w="596" w:type="dxa"/>
            <w:vMerge w:val="restart"/>
            <w:tcBorders>
              <w:top w:val="single" w:color="auto" w:sz="4" w:space="0"/>
              <w:bottom w:val="single" w:color="auto" w:sz="4" w:space="0"/>
              <w:right w:val="single" w:color="000000" w:sz="4" w:space="0"/>
            </w:tcBorders>
            <w:vAlign w:val="center"/>
          </w:tcPr>
          <w:p>
            <w:pPr>
              <w:spacing w:line="240" w:lineRule="auto"/>
              <w:ind w:firstLine="0" w:firstLineChars="0"/>
              <w:rPr>
                <w:rFonts w:ascii="Times New Roman" w:hAnsi="Times New Roman" w:cs="Times New Roman"/>
                <w:kern w:val="0"/>
                <w:sz w:val="21"/>
                <w:szCs w:val="21"/>
              </w:rPr>
            </w:pPr>
            <w:r>
              <w:rPr>
                <w:rFonts w:ascii="Times New Roman" w:hAnsi="Times New Roman" w:cs="Times New Roman"/>
                <w:kern w:val="0"/>
                <w:sz w:val="21"/>
                <w:szCs w:val="21"/>
              </w:rPr>
              <w:t>生态文化</w:t>
            </w:r>
          </w:p>
        </w:tc>
        <w:tc>
          <w:tcPr>
            <w:tcW w:w="767" w:type="dxa"/>
            <w:vMerge w:val="restart"/>
            <w:tcBorders>
              <w:top w:val="single" w:color="auto" w:sz="4" w:space="0"/>
              <w:left w:val="single" w:color="000000" w:sz="4" w:space="0"/>
              <w:bottom w:val="single" w:color="auto"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（十） 观念意识普及</w:t>
            </w:r>
          </w:p>
        </w:tc>
        <w:tc>
          <w:tcPr>
            <w:tcW w:w="80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30</w:t>
            </w:r>
          </w:p>
        </w:tc>
        <w:tc>
          <w:tcPr>
            <w:tcW w:w="319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党政领导干部参加生态文明培训的人数比例</w:t>
            </w:r>
          </w:p>
        </w:tc>
        <w:tc>
          <w:tcPr>
            <w:tcW w:w="101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w:t>
            </w:r>
          </w:p>
        </w:tc>
        <w:tc>
          <w:tcPr>
            <w:tcW w:w="98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参考性</w:t>
            </w:r>
          </w:p>
        </w:tc>
        <w:tc>
          <w:tcPr>
            <w:tcW w:w="1016"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市县</w:t>
            </w:r>
          </w:p>
        </w:tc>
        <w:tc>
          <w:tcPr>
            <w:tcW w:w="1327"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80%</w:t>
            </w:r>
          </w:p>
        </w:tc>
        <w:tc>
          <w:tcPr>
            <w:tcW w:w="1135"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85%</w:t>
            </w:r>
          </w:p>
        </w:tc>
        <w:tc>
          <w:tcPr>
            <w:tcW w:w="1313"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03" w:hRule="atLeast"/>
          <w:jc w:val="center"/>
        </w:trPr>
        <w:tc>
          <w:tcPr>
            <w:tcW w:w="596" w:type="dxa"/>
            <w:vMerge w:val="continue"/>
            <w:tcBorders>
              <w:top w:val="single" w:color="auto" w:sz="4" w:space="0"/>
              <w:bottom w:val="single" w:color="auto" w:sz="4" w:space="0"/>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767" w:type="dxa"/>
            <w:vMerge w:val="continue"/>
            <w:tcBorders>
              <w:top w:val="single" w:color="auto" w:sz="4" w:space="0"/>
              <w:left w:val="single" w:color="000000" w:sz="4" w:space="0"/>
              <w:bottom w:val="single" w:color="auto" w:sz="4" w:space="0"/>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80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31</w:t>
            </w:r>
          </w:p>
        </w:tc>
        <w:tc>
          <w:tcPr>
            <w:tcW w:w="319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公众对生态文明建设的满意度</w:t>
            </w:r>
          </w:p>
        </w:tc>
        <w:tc>
          <w:tcPr>
            <w:tcW w:w="101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w:t>
            </w:r>
          </w:p>
        </w:tc>
        <w:tc>
          <w:tcPr>
            <w:tcW w:w="148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≥80</w:t>
            </w:r>
          </w:p>
        </w:tc>
        <w:tc>
          <w:tcPr>
            <w:tcW w:w="98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参考性</w:t>
            </w:r>
          </w:p>
        </w:tc>
        <w:tc>
          <w:tcPr>
            <w:tcW w:w="1016"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市县</w:t>
            </w:r>
          </w:p>
        </w:tc>
        <w:tc>
          <w:tcPr>
            <w:tcW w:w="1327"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80%</w:t>
            </w:r>
          </w:p>
        </w:tc>
        <w:tc>
          <w:tcPr>
            <w:tcW w:w="1135"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85%</w:t>
            </w:r>
          </w:p>
        </w:tc>
        <w:tc>
          <w:tcPr>
            <w:tcW w:w="1313" w:type="dxa"/>
            <w:tcBorders>
              <w:top w:val="single" w:color="000000" w:sz="4" w:space="0"/>
              <w:left w:val="single" w:color="000000" w:sz="4" w:space="0"/>
              <w:bottom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07" w:hRule="atLeast"/>
          <w:jc w:val="center"/>
        </w:trPr>
        <w:tc>
          <w:tcPr>
            <w:tcW w:w="596" w:type="dxa"/>
            <w:vMerge w:val="continue"/>
            <w:tcBorders>
              <w:top w:val="single" w:color="auto" w:sz="4" w:space="0"/>
              <w:bottom w:val="single" w:color="auto" w:sz="4" w:space="0"/>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767" w:type="dxa"/>
            <w:vMerge w:val="continue"/>
            <w:tcBorders>
              <w:top w:val="single" w:color="auto" w:sz="4" w:space="0"/>
              <w:left w:val="single" w:color="000000" w:sz="4" w:space="0"/>
              <w:bottom w:val="single" w:color="auto" w:sz="4" w:space="0"/>
              <w:right w:val="single" w:color="000000" w:sz="4" w:space="0"/>
            </w:tcBorders>
            <w:vAlign w:val="center"/>
          </w:tcPr>
          <w:p>
            <w:pPr>
              <w:spacing w:line="240" w:lineRule="auto"/>
              <w:ind w:firstLine="420"/>
              <w:jc w:val="center"/>
              <w:rPr>
                <w:rFonts w:ascii="Times New Roman" w:hAnsi="Times New Roman" w:cs="Times New Roman"/>
                <w:kern w:val="0"/>
                <w:sz w:val="21"/>
                <w:szCs w:val="21"/>
              </w:rPr>
            </w:pPr>
          </w:p>
        </w:tc>
        <w:tc>
          <w:tcPr>
            <w:tcW w:w="805" w:type="dxa"/>
            <w:tcBorders>
              <w:top w:val="single" w:color="000000" w:sz="4" w:space="0"/>
              <w:left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32</w:t>
            </w:r>
          </w:p>
        </w:tc>
        <w:tc>
          <w:tcPr>
            <w:tcW w:w="3194" w:type="dxa"/>
            <w:tcBorders>
              <w:top w:val="single" w:color="000000" w:sz="4" w:space="0"/>
              <w:left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highlight w:val="yellow"/>
              </w:rPr>
            </w:pPr>
            <w:r>
              <w:rPr>
                <w:rFonts w:ascii="Times New Roman" w:hAnsi="Times New Roman" w:cs="Times New Roman"/>
                <w:kern w:val="0"/>
                <w:sz w:val="21"/>
                <w:szCs w:val="21"/>
              </w:rPr>
              <w:t>公众对生态文明建设的参与度</w:t>
            </w:r>
          </w:p>
        </w:tc>
        <w:tc>
          <w:tcPr>
            <w:tcW w:w="1016" w:type="dxa"/>
            <w:tcBorders>
              <w:top w:val="single" w:color="000000" w:sz="4" w:space="0"/>
              <w:left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w w:val="99"/>
                <w:kern w:val="0"/>
                <w:sz w:val="21"/>
                <w:szCs w:val="21"/>
              </w:rPr>
              <w:t>%</w:t>
            </w:r>
          </w:p>
        </w:tc>
        <w:tc>
          <w:tcPr>
            <w:tcW w:w="1480" w:type="dxa"/>
            <w:tcBorders>
              <w:top w:val="single" w:color="000000" w:sz="4" w:space="0"/>
              <w:left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≥80</w:t>
            </w:r>
          </w:p>
        </w:tc>
        <w:tc>
          <w:tcPr>
            <w:tcW w:w="988" w:type="dxa"/>
            <w:tcBorders>
              <w:top w:val="single" w:color="000000" w:sz="4" w:space="0"/>
              <w:left w:val="single" w:color="000000" w:sz="4" w:space="0"/>
              <w:righ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参考性</w:t>
            </w:r>
          </w:p>
        </w:tc>
        <w:tc>
          <w:tcPr>
            <w:tcW w:w="1016" w:type="dxa"/>
            <w:tcBorders>
              <w:top w:val="single" w:color="000000" w:sz="4" w:space="0"/>
              <w:lef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市县</w:t>
            </w:r>
          </w:p>
        </w:tc>
        <w:tc>
          <w:tcPr>
            <w:tcW w:w="1327" w:type="dxa"/>
            <w:tcBorders>
              <w:top w:val="single" w:color="000000" w:sz="4" w:space="0"/>
              <w:lef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80%</w:t>
            </w:r>
          </w:p>
        </w:tc>
        <w:tc>
          <w:tcPr>
            <w:tcW w:w="1135" w:type="dxa"/>
            <w:tcBorders>
              <w:top w:val="single" w:color="000000" w:sz="4" w:space="0"/>
              <w:lef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85%</w:t>
            </w:r>
          </w:p>
        </w:tc>
        <w:tc>
          <w:tcPr>
            <w:tcW w:w="1313" w:type="dxa"/>
            <w:tcBorders>
              <w:top w:val="single" w:color="000000" w:sz="4" w:space="0"/>
              <w:left w:val="single" w:color="000000" w:sz="4" w:space="0"/>
            </w:tcBorders>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90%</w:t>
            </w:r>
          </w:p>
        </w:tc>
      </w:tr>
      <w:bookmarkEnd w:id="272"/>
    </w:tbl>
    <w:p>
      <w:pPr>
        <w:adjustRightInd w:val="0"/>
        <w:ind w:firstLine="560"/>
        <w:textAlignment w:val="baseline"/>
        <w:rPr>
          <w:rFonts w:ascii="Times New Roman" w:hAnsi="Times New Roman" w:cs="Times New Roman"/>
          <w:kern w:val="0"/>
          <w:szCs w:val="28"/>
        </w:rPr>
        <w:sectPr>
          <w:pgSz w:w="16838" w:h="11906" w:orient="landscape"/>
          <w:pgMar w:top="1800" w:right="1440" w:bottom="1800" w:left="1440" w:header="851" w:footer="992" w:gutter="0"/>
          <w:cols w:space="425" w:num="1"/>
          <w:docGrid w:type="lines" w:linePitch="435" w:charSpace="0"/>
        </w:sectPr>
      </w:pPr>
    </w:p>
    <w:p>
      <w:pPr>
        <w:pStyle w:val="22"/>
      </w:pPr>
      <w:bookmarkStart w:id="273" w:name="_Toc961466056_WPSOffice_Level1"/>
      <w:bookmarkStart w:id="274" w:name="_Toc77601359"/>
      <w:bookmarkStart w:id="275" w:name="_Toc77600841"/>
      <w:bookmarkStart w:id="276" w:name="_Toc5894"/>
      <w:bookmarkStart w:id="277" w:name="_Toc77349636"/>
      <w:bookmarkStart w:id="278" w:name="_Toc77601177"/>
      <w:bookmarkStart w:id="279" w:name="_Toc73003394"/>
      <w:bookmarkStart w:id="280" w:name="_Toc74642383"/>
      <w:r>
        <w:t>第三章</w:t>
      </w:r>
      <w:r>
        <w:rPr>
          <w:rFonts w:hint="eastAsia"/>
        </w:rPr>
        <w:t xml:space="preserve">  </w:t>
      </w:r>
      <w:r>
        <w:t>规划任务与措施</w:t>
      </w:r>
      <w:bookmarkEnd w:id="273"/>
      <w:bookmarkEnd w:id="274"/>
      <w:bookmarkEnd w:id="275"/>
      <w:bookmarkEnd w:id="276"/>
      <w:bookmarkEnd w:id="277"/>
      <w:bookmarkEnd w:id="278"/>
    </w:p>
    <w:p>
      <w:pPr>
        <w:pStyle w:val="4"/>
      </w:pPr>
      <w:bookmarkStart w:id="281" w:name="_Toc77601360"/>
      <w:bookmarkStart w:id="282" w:name="_Toc721395347_WPSOffice_Level2"/>
      <w:bookmarkStart w:id="283" w:name="_Toc77349637"/>
      <w:bookmarkStart w:id="284" w:name="_Toc1851141698_WPSOffice_Level2"/>
      <w:bookmarkStart w:id="285" w:name="_Toc77600842"/>
      <w:bookmarkStart w:id="286" w:name="_Toc77601178"/>
      <w:bookmarkStart w:id="287" w:name="_Toc14547"/>
      <w:r>
        <w:t>第</w:t>
      </w:r>
      <w:r>
        <w:rPr>
          <w:rFonts w:hint="eastAsia"/>
        </w:rPr>
        <w:t>一</w:t>
      </w:r>
      <w:r>
        <w:t>节</w:t>
      </w:r>
      <w:r>
        <w:rPr>
          <w:rFonts w:hint="eastAsia"/>
        </w:rPr>
        <w:t xml:space="preserve">  </w:t>
      </w:r>
      <w:r>
        <w:t>生态空间体系建设</w:t>
      </w:r>
      <w:bookmarkEnd w:id="281"/>
      <w:bookmarkEnd w:id="282"/>
      <w:bookmarkEnd w:id="283"/>
      <w:bookmarkEnd w:id="284"/>
      <w:bookmarkEnd w:id="285"/>
      <w:bookmarkEnd w:id="286"/>
      <w:bookmarkEnd w:id="287"/>
    </w:p>
    <w:p>
      <w:pPr>
        <w:pStyle w:val="5"/>
      </w:pPr>
      <w:bookmarkStart w:id="288" w:name="_Toc77601179"/>
      <w:bookmarkStart w:id="289" w:name="_Toc77601361"/>
      <w:bookmarkStart w:id="290" w:name="_Toc77349638"/>
      <w:bookmarkStart w:id="291" w:name="_Toc690160689_WPSOffice_Level3"/>
      <w:bookmarkStart w:id="292" w:name="_Toc4611"/>
      <w:bookmarkStart w:id="293" w:name="_Toc221584228_WPSOffice_Level3"/>
      <w:r>
        <w:t>一、生态保护红线</w:t>
      </w:r>
      <w:bookmarkEnd w:id="288"/>
      <w:bookmarkEnd w:id="289"/>
      <w:bookmarkEnd w:id="290"/>
      <w:bookmarkEnd w:id="291"/>
      <w:bookmarkEnd w:id="292"/>
      <w:bookmarkEnd w:id="293"/>
    </w:p>
    <w:p>
      <w:pPr>
        <w:widowControl/>
        <w:shd w:val="clear" w:color="auto" w:fill="FFFFFF"/>
        <w:spacing w:line="600" w:lineRule="exact"/>
        <w:ind w:firstLine="560"/>
        <w:rPr>
          <w:rFonts w:ascii="Times New Roman" w:hAnsi="Times New Roman" w:cs="Times New Roman"/>
          <w:kern w:val="0"/>
          <w:szCs w:val="28"/>
        </w:rPr>
      </w:pPr>
      <w:r>
        <w:rPr>
          <w:rFonts w:hint="eastAsia" w:ascii="Times New Roman" w:hAnsi="Times New Roman" w:cs="仿宋"/>
          <w:kern w:val="0"/>
          <w:szCs w:val="28"/>
        </w:rPr>
        <w:t>生态保护红线区具体指生态功能很强，有专门的法律法规要求严格保护的区域，依据</w:t>
      </w:r>
      <w:r>
        <w:rPr>
          <w:rFonts w:ascii="Times New Roman" w:hAnsi="Times New Roman" w:cs="仿宋"/>
          <w:kern w:val="0"/>
          <w:szCs w:val="28"/>
        </w:rPr>
        <w:t>《抚远市河湖管理范围和水利工程管理与保护范围划界方案》及《抚远市河湖岸线保护与利用规划》</w:t>
      </w:r>
      <w:r>
        <w:rPr>
          <w:rFonts w:hint="eastAsia" w:ascii="Times New Roman" w:hAnsi="Times New Roman" w:cs="仿宋"/>
          <w:kern w:val="0"/>
          <w:szCs w:val="28"/>
        </w:rPr>
        <w:t>，</w:t>
      </w:r>
      <w:r>
        <w:rPr>
          <w:rFonts w:ascii="Times New Roman" w:hAnsi="Times New Roman" w:cs="仿宋"/>
          <w:kern w:val="0"/>
          <w:szCs w:val="28"/>
        </w:rPr>
        <w:t>《黑龙江省主体功能区划》</w:t>
      </w:r>
      <w:r>
        <w:rPr>
          <w:rFonts w:hint="eastAsia" w:ascii="Times New Roman" w:hAnsi="Times New Roman" w:cs="仿宋"/>
          <w:kern w:val="0"/>
          <w:szCs w:val="28"/>
        </w:rPr>
        <w:t>等划定生态保护红线。包括自然保护区的核心区、饮用水源一级保护区、森林公园等。抚远市生态红线划定区域共1</w:t>
      </w:r>
      <w:r>
        <w:rPr>
          <w:rFonts w:ascii="Times New Roman" w:hAnsi="Times New Roman" w:cs="仿宋"/>
          <w:kern w:val="0"/>
          <w:szCs w:val="28"/>
        </w:rPr>
        <w:t>54336.04</w:t>
      </w:r>
      <w:r>
        <w:rPr>
          <w:rFonts w:hint="eastAsia" w:ascii="Times New Roman" w:hAnsi="Times New Roman" w:cs="仿宋"/>
          <w:kern w:val="0"/>
          <w:szCs w:val="28"/>
        </w:rPr>
        <w:t>公顷，其中生物多样性维护面积3</w:t>
      </w:r>
      <w:r>
        <w:rPr>
          <w:rFonts w:ascii="Times New Roman" w:hAnsi="Times New Roman" w:cs="仿宋"/>
          <w:kern w:val="0"/>
          <w:szCs w:val="28"/>
        </w:rPr>
        <w:t>0172.18</w:t>
      </w:r>
      <w:r>
        <w:rPr>
          <w:rFonts w:hint="eastAsia" w:ascii="Times New Roman" w:hAnsi="Times New Roman" w:cs="仿宋"/>
          <w:kern w:val="0"/>
          <w:szCs w:val="28"/>
        </w:rPr>
        <w:t>公顷，水源涵养1</w:t>
      </w:r>
      <w:r>
        <w:rPr>
          <w:rFonts w:ascii="Times New Roman" w:hAnsi="Times New Roman" w:cs="仿宋"/>
          <w:kern w:val="0"/>
          <w:szCs w:val="28"/>
        </w:rPr>
        <w:t>24163.86</w:t>
      </w:r>
      <w:r>
        <w:rPr>
          <w:rFonts w:hint="eastAsia" w:ascii="Times New Roman" w:hAnsi="Times New Roman" w:cs="仿宋"/>
          <w:kern w:val="0"/>
          <w:szCs w:val="28"/>
        </w:rPr>
        <w:t>公顷，包括黑龙江三江国家级自然保护区、黑龙江黑瞎子岛国家级自然保护区和洪河自然保护区，黑龙江、浓江河、别拉洪河和乌苏里江等流域沿线生态廊道以及西山公园、南山公园、滨江公园和小南山公园等郊野公园，文化公园、向阳公园和旭日公园等片区公园，小南山水厂亮子和东井等饮用水源地。抚远市对这些区域内的全部区域或部分区域划定生态红线，保证生态安全。</w:t>
      </w:r>
      <w:r>
        <w:rPr>
          <w:rFonts w:ascii="Times New Roman" w:hAnsi="Times New Roman" w:cs="Times New Roman"/>
          <w:color w:val="000000"/>
          <w:kern w:val="0"/>
          <w:szCs w:val="28"/>
        </w:rPr>
        <w:t xml:space="preserve">在生态红线区内，禁止从事与生态保护无关的开发活动，对其中的部分区域，在影响不大并经过严格审批的情况下，可进行适度开发，主要包括生态保护与修复工程，文化自然遗产保护、森林防火、应急救援、军事与安全保密设施以及必要的旅游交通、通讯等基础设施等。 </w:t>
      </w:r>
    </w:p>
    <w:p>
      <w:pPr>
        <w:pStyle w:val="5"/>
        <w:rPr>
          <w:sz w:val="30"/>
          <w:szCs w:val="30"/>
        </w:rPr>
      </w:pPr>
      <w:bookmarkStart w:id="294" w:name="_Toc971522576_WPSOffice_Level3"/>
      <w:bookmarkStart w:id="295" w:name="_Toc429476098_WPSOffice_Level3"/>
      <w:bookmarkStart w:id="296" w:name="_Toc4179"/>
      <w:bookmarkStart w:id="297" w:name="_Toc77349639"/>
      <w:bookmarkStart w:id="298" w:name="_Toc77601180"/>
      <w:bookmarkStart w:id="299" w:name="_Toc77601362"/>
      <w:r>
        <w:t>二、自然保护地体系</w:t>
      </w:r>
      <w:bookmarkEnd w:id="294"/>
      <w:bookmarkEnd w:id="295"/>
      <w:bookmarkEnd w:id="296"/>
      <w:bookmarkEnd w:id="297"/>
      <w:r>
        <w:rPr>
          <w:rFonts w:hint="eastAsia"/>
        </w:rPr>
        <w:t>改善措施</w:t>
      </w:r>
      <w:bookmarkEnd w:id="298"/>
      <w:bookmarkEnd w:id="299"/>
      <w:r>
        <w:rPr>
          <w:rFonts w:hint="eastAsia"/>
          <w:sz w:val="30"/>
          <w:szCs w:val="30"/>
        </w:rPr>
        <w:t xml:space="preserve"> </w:t>
      </w:r>
    </w:p>
    <w:p>
      <w:pPr>
        <w:keepNext/>
        <w:keepLines/>
        <w:ind w:firstLine="602"/>
        <w:jc w:val="left"/>
        <w:outlineLvl w:val="1"/>
        <w:rPr>
          <w:rFonts w:ascii="宋体" w:hAnsi="宋体" w:cs="黑体"/>
          <w:b/>
          <w:color w:val="000000"/>
          <w:sz w:val="30"/>
          <w:szCs w:val="32"/>
        </w:rPr>
      </w:pPr>
      <w:bookmarkStart w:id="300" w:name="_Toc77601363"/>
      <w:bookmarkStart w:id="301" w:name="_Toc77601181"/>
      <w:bookmarkStart w:id="302" w:name="_Toc77600843"/>
      <w:r>
        <w:rPr>
          <w:rFonts w:hint="eastAsia" w:ascii="宋体" w:hAnsi="宋体" w:cs="黑体"/>
          <w:b/>
          <w:sz w:val="30"/>
          <w:szCs w:val="30"/>
        </w:rPr>
        <w:t>（一）</w:t>
      </w:r>
      <w:r>
        <w:rPr>
          <w:rFonts w:hint="eastAsia" w:ascii="宋体" w:hAnsi="宋体" w:cs="黑体"/>
          <w:b/>
          <w:color w:val="000000"/>
          <w:sz w:val="30"/>
          <w:szCs w:val="32"/>
        </w:rPr>
        <w:t>制定自然保护区分类划定标准</w:t>
      </w:r>
      <w:bookmarkEnd w:id="300"/>
      <w:bookmarkEnd w:id="301"/>
      <w:bookmarkEnd w:id="302"/>
    </w:p>
    <w:p>
      <w:pPr>
        <w:adjustRightInd w:val="0"/>
        <w:ind w:firstLine="560"/>
        <w:textAlignment w:val="baseline"/>
        <w:rPr>
          <w:rFonts w:ascii="Times New Roman" w:hAnsi="Times New Roman" w:cs="ËÎÌå"/>
          <w:color w:val="000000"/>
          <w:kern w:val="0"/>
          <w:szCs w:val="28"/>
        </w:rPr>
      </w:pPr>
      <w:r>
        <w:rPr>
          <w:rFonts w:hint="eastAsia" w:ascii="Times New Roman" w:hAnsi="Times New Roman" w:cs="ËÎÌå"/>
          <w:color w:val="000000"/>
          <w:kern w:val="0"/>
          <w:szCs w:val="28"/>
        </w:rPr>
        <w:t>制定抚远市自然保护区分类划定标准，对现有自然保护区、风景名胜区、地质公园、森林公园、湿地公园、水产种质资源保护区、野生植物原生境保护区（点）、自然保护小区、野生动物重要栖息地等各类自然保护地开展综合评价，按照保护区域的自然属性、生态价值和管理目标进行梳理调整和归类，逐步形成以国家公园为主体、自然保护区为基础、各类自然公园为补充的自然保护地分类系统。</w:t>
      </w:r>
    </w:p>
    <w:p>
      <w:pPr>
        <w:keepNext/>
        <w:keepLines/>
        <w:ind w:firstLine="602"/>
        <w:jc w:val="left"/>
        <w:outlineLvl w:val="1"/>
        <w:rPr>
          <w:rFonts w:ascii="宋体" w:hAnsi="宋体" w:cs="黑体"/>
          <w:b/>
          <w:color w:val="000000"/>
          <w:sz w:val="30"/>
          <w:szCs w:val="32"/>
        </w:rPr>
      </w:pPr>
      <w:bookmarkStart w:id="303" w:name="_Toc77600844"/>
      <w:bookmarkStart w:id="304" w:name="_Toc77601182"/>
      <w:bookmarkStart w:id="305" w:name="_Toc77601364"/>
      <w:r>
        <w:rPr>
          <w:rFonts w:hint="eastAsia" w:ascii="宋体" w:hAnsi="宋体" w:cs="黑体"/>
          <w:b/>
          <w:sz w:val="30"/>
          <w:szCs w:val="30"/>
        </w:rPr>
        <w:t>（二）</w:t>
      </w:r>
      <w:r>
        <w:rPr>
          <w:rFonts w:hint="eastAsia" w:ascii="宋体" w:hAnsi="宋体" w:cs="黑体"/>
          <w:b/>
          <w:color w:val="000000"/>
          <w:sz w:val="30"/>
          <w:szCs w:val="32"/>
        </w:rPr>
        <w:t>编制自然保护地规划</w:t>
      </w:r>
      <w:bookmarkEnd w:id="303"/>
      <w:bookmarkEnd w:id="304"/>
      <w:bookmarkEnd w:id="305"/>
    </w:p>
    <w:p>
      <w:pPr>
        <w:adjustRightInd w:val="0"/>
        <w:ind w:firstLine="560"/>
        <w:textAlignment w:val="baseline"/>
        <w:rPr>
          <w:rFonts w:ascii="Times New Roman" w:hAnsi="Times New Roman" w:cs="ËÎÌå"/>
          <w:color w:val="000000"/>
          <w:kern w:val="0"/>
          <w:szCs w:val="28"/>
        </w:rPr>
      </w:pPr>
      <w:r>
        <w:rPr>
          <w:rFonts w:hint="eastAsia" w:ascii="Times New Roman" w:hAnsi="Times New Roman" w:cs="ËÎÌå"/>
          <w:color w:val="000000"/>
          <w:kern w:val="0"/>
          <w:szCs w:val="28"/>
        </w:rPr>
        <w:t>落实国家发展规划提出的国土空间开发保护要求，依据国土空间规划，编制抚远市自然保护地规划，明确自然保护地发展目标、规模、和划定区域，将生态功能重要、生态系统脆弱、自然生态保护空缺的区域规划为重要的自然生态空间，纳入自然保护地体系。</w:t>
      </w:r>
    </w:p>
    <w:p>
      <w:pPr>
        <w:keepNext/>
        <w:keepLines/>
        <w:ind w:firstLine="602"/>
        <w:jc w:val="left"/>
        <w:outlineLvl w:val="1"/>
        <w:rPr>
          <w:rFonts w:ascii="宋体" w:hAnsi="宋体" w:cs="黑体"/>
          <w:b/>
          <w:color w:val="000000"/>
          <w:sz w:val="30"/>
          <w:szCs w:val="32"/>
        </w:rPr>
      </w:pPr>
      <w:bookmarkStart w:id="306" w:name="_Toc77601183"/>
      <w:bookmarkStart w:id="307" w:name="_Toc77601365"/>
      <w:bookmarkStart w:id="308" w:name="_Toc77600845"/>
      <w:r>
        <w:rPr>
          <w:rFonts w:hint="eastAsia" w:ascii="宋体" w:hAnsi="宋体" w:cs="黑体"/>
          <w:b/>
          <w:sz w:val="30"/>
          <w:szCs w:val="30"/>
        </w:rPr>
        <w:t>（三）</w:t>
      </w:r>
      <w:r>
        <w:rPr>
          <w:rFonts w:hint="eastAsia" w:ascii="宋体" w:hAnsi="宋体" w:cs="黑体"/>
          <w:b/>
          <w:color w:val="000000"/>
          <w:sz w:val="30"/>
          <w:szCs w:val="32"/>
        </w:rPr>
        <w:t>整合交叉重叠的自然保护地</w:t>
      </w:r>
      <w:bookmarkEnd w:id="306"/>
      <w:bookmarkEnd w:id="307"/>
      <w:bookmarkEnd w:id="308"/>
    </w:p>
    <w:p>
      <w:pPr>
        <w:adjustRightInd w:val="0"/>
        <w:ind w:firstLine="560"/>
        <w:textAlignment w:val="baseline"/>
        <w:rPr>
          <w:rFonts w:ascii="Times New Roman" w:hAnsi="Times New Roman" w:cs="ËÎÌå"/>
          <w:color w:val="000000"/>
          <w:kern w:val="0"/>
          <w:szCs w:val="28"/>
        </w:rPr>
      </w:pPr>
      <w:r>
        <w:rPr>
          <w:rFonts w:hint="eastAsia" w:ascii="Times New Roman" w:hAnsi="Times New Roman" w:cs="ËÎÌå"/>
          <w:color w:val="000000"/>
          <w:kern w:val="0"/>
          <w:szCs w:val="28"/>
        </w:rPr>
        <w:t>以保持抚远市生态系统完整性为原则，将符合条件的优先整合设立国家公园，其他各类自然保护地按照同级别保护强度优先、不同级别低级别服从高级别的原则进行整合。</w:t>
      </w:r>
    </w:p>
    <w:p>
      <w:pPr>
        <w:keepNext/>
        <w:keepLines/>
        <w:ind w:firstLine="602"/>
        <w:jc w:val="left"/>
        <w:outlineLvl w:val="1"/>
        <w:rPr>
          <w:rFonts w:ascii="宋体" w:hAnsi="宋体" w:cs="黑体"/>
          <w:b/>
          <w:color w:val="000000"/>
          <w:sz w:val="30"/>
          <w:szCs w:val="32"/>
        </w:rPr>
      </w:pPr>
      <w:bookmarkStart w:id="309" w:name="_Toc77600846"/>
      <w:bookmarkStart w:id="310" w:name="_Toc77601184"/>
      <w:bookmarkStart w:id="311" w:name="_Toc77601366"/>
      <w:r>
        <w:rPr>
          <w:rFonts w:hint="eastAsia" w:ascii="宋体" w:hAnsi="宋体" w:cs="黑体"/>
          <w:b/>
          <w:sz w:val="30"/>
          <w:szCs w:val="30"/>
        </w:rPr>
        <w:t>（四）</w:t>
      </w:r>
      <w:r>
        <w:rPr>
          <w:rFonts w:hint="eastAsia" w:ascii="宋体" w:hAnsi="宋体" w:cs="黑体"/>
          <w:b/>
          <w:color w:val="000000"/>
          <w:sz w:val="30"/>
          <w:szCs w:val="32"/>
        </w:rPr>
        <w:t>加强自然保护地建设与管理</w:t>
      </w:r>
      <w:bookmarkEnd w:id="309"/>
      <w:bookmarkEnd w:id="310"/>
      <w:bookmarkEnd w:id="311"/>
    </w:p>
    <w:p>
      <w:pPr>
        <w:ind w:firstLine="560"/>
        <w:rPr>
          <w:rFonts w:ascii="Times New Roman" w:hAnsi="Times New Roman" w:cs="Times New Roman"/>
          <w:kern w:val="0"/>
          <w:szCs w:val="28"/>
        </w:rPr>
      </w:pPr>
      <w:r>
        <w:rPr>
          <w:rFonts w:hint="eastAsia" w:ascii="Times New Roman" w:hAnsi="Times New Roman"/>
          <w:szCs w:val="28"/>
        </w:rPr>
        <w:t>推进国家级自然保护地规范化建设，加强监督和管理。积极争取国家专项资金，加强国家级自然保护地管理机构和能力建设，提高自然保护地管理质量，基本形成类型多样、功能健全、区域分布趋于合理的自然保护地体系。依法规范管理，提升自然保护地监管水平。进一步加大中俄跨界自然保护地建设力度，拓展中俄跨界自然保护地合作交流领域，制定中俄跨界自然保护地交流机制和合作计划，探索跨界自然保护区管理模式。</w:t>
      </w:r>
    </w:p>
    <w:p>
      <w:pPr>
        <w:keepNext/>
        <w:keepLines/>
        <w:ind w:firstLine="602"/>
        <w:jc w:val="left"/>
        <w:outlineLvl w:val="1"/>
        <w:rPr>
          <w:rFonts w:ascii="宋体" w:hAnsi="宋体" w:cs="Times New Roman"/>
          <w:b/>
          <w:color w:val="000000"/>
          <w:sz w:val="30"/>
          <w:szCs w:val="32"/>
        </w:rPr>
      </w:pPr>
      <w:bookmarkStart w:id="312" w:name="_Toc77600847"/>
      <w:bookmarkStart w:id="313" w:name="_Toc77601367"/>
      <w:bookmarkStart w:id="314" w:name="_Toc77601185"/>
      <w:r>
        <w:rPr>
          <w:rFonts w:hint="eastAsia" w:ascii="宋体" w:hAnsi="宋体" w:cs="黑体"/>
          <w:b/>
          <w:sz w:val="30"/>
          <w:szCs w:val="30"/>
        </w:rPr>
        <w:t>（五）</w:t>
      </w:r>
      <w:r>
        <w:rPr>
          <w:rFonts w:hint="eastAsia" w:ascii="宋体" w:hAnsi="宋体" w:cs="黑体"/>
          <w:b/>
          <w:color w:val="000000"/>
          <w:sz w:val="30"/>
          <w:szCs w:val="32"/>
        </w:rPr>
        <w:t>加强自然保护地生态环境监督考核</w:t>
      </w:r>
      <w:bookmarkEnd w:id="312"/>
      <w:bookmarkEnd w:id="313"/>
      <w:bookmarkEnd w:id="314"/>
    </w:p>
    <w:p>
      <w:pPr>
        <w:adjustRightInd w:val="0"/>
        <w:ind w:firstLine="560"/>
        <w:textAlignment w:val="baseline"/>
        <w:rPr>
          <w:rFonts w:ascii="Times New Roman" w:hAnsi="Times New Roman" w:cs="ËÎÌå"/>
          <w:color w:val="000000"/>
          <w:kern w:val="0"/>
          <w:szCs w:val="28"/>
        </w:rPr>
      </w:pPr>
      <w:r>
        <w:rPr>
          <w:rFonts w:hint="eastAsia" w:ascii="Times New Roman" w:hAnsi="Times New Roman" w:cs="ËÎÌå"/>
          <w:color w:val="000000"/>
          <w:kern w:val="0"/>
          <w:szCs w:val="28"/>
        </w:rPr>
        <w:t>建立抚远市监测体系建立自然保护地生态环境监测制度，制定相关技术标准，建设各类各级自然保护地“天地空一体化”监测网络体系。制定自然保护地生态环境监督办法，建立包括相关部门在内的统一执法机制，制定自然保护地生态环境保护综合执法指导意见。</w:t>
      </w:r>
    </w:p>
    <w:p>
      <w:pPr>
        <w:pStyle w:val="5"/>
      </w:pPr>
      <w:bookmarkStart w:id="315" w:name="_Toc77601186"/>
      <w:bookmarkStart w:id="316" w:name="_Toc512241519_WPSOffice_Level3"/>
      <w:bookmarkStart w:id="317" w:name="_Toc77349640"/>
      <w:bookmarkStart w:id="318" w:name="_Toc1061766691_WPSOffice_Level3"/>
      <w:bookmarkStart w:id="319" w:name="_Toc77601368"/>
      <w:bookmarkStart w:id="320" w:name="_Toc10177"/>
      <w:r>
        <w:t>三、河湖岸线保护与修复</w:t>
      </w:r>
      <w:bookmarkEnd w:id="315"/>
      <w:bookmarkEnd w:id="316"/>
      <w:bookmarkEnd w:id="317"/>
      <w:bookmarkEnd w:id="318"/>
      <w:bookmarkEnd w:id="319"/>
      <w:bookmarkEnd w:id="320"/>
    </w:p>
    <w:p>
      <w:pPr>
        <w:keepNext/>
        <w:keepLines/>
        <w:ind w:firstLine="602"/>
        <w:jc w:val="left"/>
        <w:outlineLvl w:val="1"/>
        <w:rPr>
          <w:rFonts w:ascii="宋体" w:hAnsi="宋体" w:cs="黑体"/>
          <w:b/>
          <w:color w:val="000000"/>
          <w:sz w:val="30"/>
          <w:szCs w:val="32"/>
        </w:rPr>
      </w:pPr>
      <w:bookmarkStart w:id="321" w:name="_Toc74642433"/>
      <w:bookmarkStart w:id="322" w:name="_Toc77601187"/>
      <w:bookmarkStart w:id="323" w:name="_Toc77600848"/>
      <w:bookmarkStart w:id="324" w:name="_Toc77601369"/>
      <w:r>
        <w:rPr>
          <w:rFonts w:hint="eastAsia" w:ascii="宋体" w:hAnsi="宋体" w:cs="黑体"/>
          <w:b/>
          <w:sz w:val="30"/>
          <w:szCs w:val="30"/>
        </w:rPr>
        <w:t>（一）</w:t>
      </w:r>
      <w:r>
        <w:rPr>
          <w:rFonts w:hint="eastAsia" w:ascii="宋体" w:hAnsi="宋体" w:cs="黑体"/>
          <w:b/>
          <w:color w:val="000000"/>
          <w:sz w:val="30"/>
          <w:szCs w:val="32"/>
        </w:rPr>
        <w:t>健全河湖岸线保护制度</w:t>
      </w:r>
      <w:bookmarkEnd w:id="321"/>
      <w:bookmarkEnd w:id="322"/>
      <w:bookmarkEnd w:id="323"/>
      <w:bookmarkEnd w:id="324"/>
    </w:p>
    <w:p>
      <w:pPr>
        <w:widowControl/>
        <w:ind w:firstLine="560"/>
        <w:jc w:val="left"/>
        <w:rPr>
          <w:rFonts w:ascii="Times New Roman" w:hAnsi="Times New Roman"/>
          <w:color w:val="000000"/>
          <w:szCs w:val="28"/>
        </w:rPr>
      </w:pPr>
      <w:r>
        <w:rPr>
          <w:rFonts w:hint="eastAsia" w:ascii="Times New Roman" w:hAnsi="Times New Roman"/>
          <w:color w:val="000000"/>
          <w:szCs w:val="28"/>
        </w:rPr>
        <w:t>抚远市严格参照水务局部《河湖岸线保护与利用规划编制指南（试行）》（办河湖函〔2019〕394号）划定岸线保护区、岸线保留区、岸线控制利用区及岸线开发利用区。完善健全抚远市河湖岸线保护制度，进一步细化各类岸线的管控措施和经营制度。完善河湖岸线生态监管和定期调查制度，促进社会经济与资源环境的协调发展，全面落实河湖岸线生态保护主体责任。</w:t>
      </w:r>
    </w:p>
    <w:p>
      <w:pPr>
        <w:keepNext/>
        <w:keepLines/>
        <w:ind w:firstLine="602"/>
        <w:jc w:val="left"/>
        <w:outlineLvl w:val="1"/>
        <w:rPr>
          <w:rFonts w:ascii="宋体" w:hAnsi="宋体" w:cs="黑体"/>
          <w:b/>
          <w:bCs/>
          <w:color w:val="000000"/>
          <w:sz w:val="30"/>
          <w:szCs w:val="32"/>
        </w:rPr>
      </w:pPr>
      <w:bookmarkStart w:id="325" w:name="_Toc77600849"/>
      <w:bookmarkStart w:id="326" w:name="_Toc77601188"/>
      <w:bookmarkStart w:id="327" w:name="_Toc74642434"/>
      <w:bookmarkStart w:id="328" w:name="_Toc77601370"/>
      <w:r>
        <w:rPr>
          <w:rFonts w:hint="eastAsia" w:ascii="宋体" w:hAnsi="宋体" w:cs="黑体"/>
          <w:b/>
          <w:bCs/>
          <w:color w:val="000000"/>
          <w:sz w:val="30"/>
          <w:szCs w:val="32"/>
        </w:rPr>
        <w:t>（二）实施河湖岸线生态系统保护和修复重大工程</w:t>
      </w:r>
      <w:bookmarkEnd w:id="325"/>
      <w:bookmarkEnd w:id="326"/>
      <w:bookmarkEnd w:id="327"/>
      <w:bookmarkEnd w:id="328"/>
    </w:p>
    <w:p>
      <w:pPr>
        <w:adjustRightInd w:val="0"/>
        <w:ind w:firstLine="560"/>
        <w:textAlignment w:val="baseline"/>
        <w:rPr>
          <w:rFonts w:ascii="Times New Roman" w:hAnsi="Times New Roman" w:cs="ËÎÌå"/>
          <w:color w:val="000000"/>
          <w:kern w:val="0"/>
          <w:szCs w:val="28"/>
        </w:rPr>
      </w:pPr>
      <w:r>
        <w:rPr>
          <w:rFonts w:hint="eastAsia" w:ascii="Times New Roman" w:hAnsi="Times New Roman" w:cs="ËÎÌå"/>
          <w:color w:val="000000"/>
          <w:kern w:val="0"/>
          <w:szCs w:val="28"/>
        </w:rPr>
        <w:t>统筹抚远市河湖岸线生态系统治理，优化生态安全屏障体系。保护和恢复抚远市乡村河湖、湿地生态系统，积极开展农村水生态修复，连抚远湖水系，恢复河塘行蓄能力，推进退田还湖还湿、退圩退垸还湖。大力推进生态清洁小流域建设，推进绿色小水电改造。加快河湖岸线综合治理，实施整治行动和河湖岸线修复。实施生物多样性保护重大工程，提升各类重要保护地保护管理能力。</w:t>
      </w:r>
    </w:p>
    <w:p>
      <w:pPr>
        <w:keepNext/>
        <w:keepLines/>
        <w:ind w:firstLine="602"/>
        <w:jc w:val="left"/>
        <w:outlineLvl w:val="1"/>
        <w:rPr>
          <w:rFonts w:ascii="宋体" w:hAnsi="宋体" w:cs="黑体"/>
          <w:b/>
          <w:bCs/>
          <w:color w:val="000000"/>
          <w:sz w:val="30"/>
          <w:szCs w:val="32"/>
        </w:rPr>
      </w:pPr>
      <w:bookmarkStart w:id="329" w:name="_Toc77600850"/>
      <w:bookmarkStart w:id="330" w:name="_Toc74642435"/>
      <w:bookmarkStart w:id="331" w:name="_Toc77601189"/>
      <w:bookmarkStart w:id="332" w:name="_Toc77601371"/>
      <w:r>
        <w:rPr>
          <w:rFonts w:hint="eastAsia" w:ascii="宋体" w:hAnsi="宋体" w:cs="黑体"/>
          <w:b/>
          <w:bCs/>
          <w:color w:val="000000"/>
          <w:sz w:val="30"/>
          <w:szCs w:val="32"/>
        </w:rPr>
        <w:t>（三）编制河湖岸线保护与利用规划</w:t>
      </w:r>
      <w:bookmarkEnd w:id="329"/>
      <w:bookmarkEnd w:id="330"/>
      <w:bookmarkEnd w:id="331"/>
      <w:bookmarkEnd w:id="332"/>
    </w:p>
    <w:p>
      <w:pPr>
        <w:adjustRightInd w:val="0"/>
        <w:ind w:firstLine="560"/>
        <w:textAlignment w:val="baseline"/>
        <w:rPr>
          <w:rFonts w:ascii="Times New Roman" w:hAnsi="Times New Roman" w:cs="ËÎÌå"/>
          <w:color w:val="000000"/>
          <w:kern w:val="0"/>
          <w:szCs w:val="28"/>
        </w:rPr>
      </w:pPr>
      <w:r>
        <w:rPr>
          <w:rFonts w:hint="eastAsia" w:ascii="Times New Roman" w:hAnsi="Times New Roman" w:cs="ËÎÌå"/>
          <w:color w:val="000000"/>
          <w:kern w:val="0"/>
          <w:szCs w:val="28"/>
        </w:rPr>
        <w:t>在全面掌握河流岸线现状资源条件的基础上，利用运用生态学、景观学、社会经济学和城乡规划学相关原理，从防洪排涝、安全稳定、生态健康、景观适宜等方面，对河流岸线形态、控制范围、功能区布局进行科学规划，确定适宜的资源保护与开发利用措施，提出岸线保护、利用、修复的模式、方案、技术要求和管控机制，从而全面发挥岸线的综合功能，促进社会经济与资源环境的协调发展。加强河湖水域岸线管理保护，加大河湖岸线空间管控力度。</w:t>
      </w:r>
    </w:p>
    <w:p>
      <w:pPr>
        <w:keepNext/>
        <w:keepLines/>
        <w:ind w:firstLine="602"/>
        <w:jc w:val="left"/>
        <w:outlineLvl w:val="1"/>
        <w:rPr>
          <w:rFonts w:ascii="宋体" w:hAnsi="宋体" w:cs="黑体"/>
          <w:b/>
          <w:bCs/>
          <w:color w:val="000000"/>
          <w:sz w:val="30"/>
          <w:szCs w:val="32"/>
        </w:rPr>
      </w:pPr>
      <w:bookmarkStart w:id="333" w:name="_Toc77600851"/>
      <w:bookmarkStart w:id="334" w:name="_Toc77601190"/>
      <w:bookmarkStart w:id="335" w:name="_Toc77601372"/>
      <w:bookmarkStart w:id="336" w:name="_Toc74642436"/>
      <w:r>
        <w:rPr>
          <w:rFonts w:hint="eastAsia" w:ascii="宋体" w:hAnsi="宋体" w:cs="黑体"/>
          <w:b/>
          <w:bCs/>
          <w:color w:val="000000"/>
          <w:sz w:val="30"/>
          <w:szCs w:val="32"/>
        </w:rPr>
        <w:t>（四）加强河湖岸线执法监督</w:t>
      </w:r>
      <w:bookmarkEnd w:id="333"/>
      <w:bookmarkEnd w:id="334"/>
      <w:bookmarkEnd w:id="335"/>
      <w:bookmarkEnd w:id="336"/>
    </w:p>
    <w:p>
      <w:pPr>
        <w:adjustRightInd w:val="0"/>
        <w:ind w:firstLine="560"/>
        <w:textAlignment w:val="baseline"/>
        <w:rPr>
          <w:rFonts w:ascii="Times New Roman" w:hAnsi="Times New Roman" w:cs="ËÎÌå"/>
          <w:color w:val="000000"/>
          <w:kern w:val="0"/>
          <w:szCs w:val="28"/>
        </w:rPr>
      </w:pPr>
      <w:r>
        <w:rPr>
          <w:rFonts w:hint="eastAsia" w:ascii="Times New Roman" w:hAnsi="Times New Roman" w:cs="ËÎÌå"/>
          <w:color w:val="000000"/>
          <w:kern w:val="0"/>
          <w:szCs w:val="28"/>
        </w:rPr>
        <w:t>全面建立抚远河湖执法巡查制度，建立执法台账，建立排查、分析、整治、督办、销号机制，实现面源污染常态化整治。以规范涉水工业污染源监管为核心，开展专项执法行动，严打违法排污行为，对重大河湖违法行为全部立案查处。建立健全河道治理、岸线利用与保护相结合的机制，制定配套的河道管理实施办法。加强宣传，提高干部及群众的水面、岸线利用保护意识。</w:t>
      </w:r>
    </w:p>
    <w:p>
      <w:pPr>
        <w:pStyle w:val="5"/>
      </w:pPr>
      <w:bookmarkStart w:id="337" w:name="_Toc77349641"/>
      <w:bookmarkStart w:id="338" w:name="_Toc1671152714_WPSOffice_Level3"/>
      <w:bookmarkStart w:id="339" w:name="_Toc77601191"/>
      <w:bookmarkStart w:id="340" w:name="_Toc2128752657_WPSOffice_Level3"/>
      <w:bookmarkStart w:id="341" w:name="_Toc77601373"/>
      <w:bookmarkStart w:id="342" w:name="_Toc29684"/>
      <w:bookmarkStart w:id="343" w:name="_Toc74642438"/>
      <w:r>
        <w:t>四、自然岸线保护与修复</w:t>
      </w:r>
      <w:bookmarkEnd w:id="337"/>
      <w:bookmarkEnd w:id="338"/>
      <w:bookmarkEnd w:id="339"/>
      <w:bookmarkEnd w:id="340"/>
      <w:bookmarkEnd w:id="341"/>
      <w:bookmarkEnd w:id="342"/>
    </w:p>
    <w:p>
      <w:pPr>
        <w:keepNext/>
        <w:keepLines/>
        <w:ind w:firstLine="602"/>
        <w:jc w:val="left"/>
        <w:outlineLvl w:val="1"/>
        <w:rPr>
          <w:rFonts w:ascii="宋体" w:hAnsi="宋体" w:cs="黑体"/>
          <w:b/>
          <w:bCs/>
          <w:color w:val="000000"/>
          <w:sz w:val="30"/>
          <w:szCs w:val="32"/>
        </w:rPr>
      </w:pPr>
      <w:bookmarkStart w:id="344" w:name="_Toc77600852"/>
      <w:bookmarkStart w:id="345" w:name="_Toc77601192"/>
      <w:bookmarkStart w:id="346" w:name="_Toc77601374"/>
      <w:r>
        <w:rPr>
          <w:rFonts w:hint="eastAsia" w:ascii="宋体" w:hAnsi="宋体" w:cs="黑体"/>
          <w:b/>
          <w:bCs/>
          <w:color w:val="000000"/>
          <w:sz w:val="30"/>
          <w:szCs w:val="32"/>
        </w:rPr>
        <w:t>（一）加强自然岸线规划研究</w:t>
      </w:r>
      <w:bookmarkEnd w:id="343"/>
      <w:bookmarkEnd w:id="344"/>
      <w:bookmarkEnd w:id="345"/>
      <w:bookmarkEnd w:id="346"/>
    </w:p>
    <w:p>
      <w:pPr>
        <w:ind w:firstLine="560"/>
        <w:rPr>
          <w:rFonts w:ascii="Times New Roman" w:hAnsi="Times New Roman"/>
          <w:szCs w:val="28"/>
        </w:rPr>
      </w:pPr>
      <w:r>
        <w:rPr>
          <w:rFonts w:hint="eastAsia" w:ascii="Times New Roman" w:hAnsi="Times New Roman"/>
          <w:szCs w:val="28"/>
        </w:rPr>
        <w:t>重点开展抚远市岸线资源保护和科学合理开发的规划研究工作。针对利用与保护冲突严重、生态问题突出的重点岸段</w:t>
      </w:r>
      <w:r>
        <w:rPr>
          <w:rFonts w:hint="eastAsia" w:ascii="Times New Roman" w:hAnsi="Times New Roman" w:cs="仿宋"/>
          <w:szCs w:val="28"/>
        </w:rPr>
        <w:t>，</w:t>
      </w:r>
      <w:r>
        <w:rPr>
          <w:rFonts w:hint="eastAsia" w:ascii="Times New Roman" w:hAnsi="Times New Roman"/>
          <w:szCs w:val="28"/>
        </w:rPr>
        <w:t>开展岸线利用的生态影响跟踪评估研究，为抚远市岸线保护与科学利用规划奠定基础；由自然资源主管部门牵头负责抚远市岸线资源的空间管控与保护，并以正在开展的沿江省市国土空间规划编制为契机，落实抚远市岸线的管控要求，以实现抚远市大保护的目标和抚远市经济带的可持续发展。</w:t>
      </w:r>
    </w:p>
    <w:p>
      <w:pPr>
        <w:keepNext/>
        <w:keepLines/>
        <w:ind w:firstLine="602"/>
        <w:jc w:val="left"/>
        <w:outlineLvl w:val="1"/>
        <w:rPr>
          <w:rFonts w:ascii="宋体" w:hAnsi="宋体" w:cs="黑体"/>
          <w:b/>
          <w:bCs/>
          <w:color w:val="000000"/>
          <w:sz w:val="30"/>
          <w:szCs w:val="32"/>
        </w:rPr>
      </w:pPr>
      <w:bookmarkStart w:id="347" w:name="_Toc74642439"/>
      <w:bookmarkStart w:id="348" w:name="_Toc77600853"/>
      <w:bookmarkStart w:id="349" w:name="_Toc77601193"/>
      <w:bookmarkStart w:id="350" w:name="_Toc77601375"/>
      <w:r>
        <w:rPr>
          <w:rFonts w:hint="eastAsia" w:ascii="宋体" w:hAnsi="宋体" w:cs="黑体"/>
          <w:b/>
          <w:bCs/>
          <w:color w:val="000000"/>
          <w:sz w:val="30"/>
          <w:szCs w:val="32"/>
        </w:rPr>
        <w:t>（二）优化岸线空间格局</w:t>
      </w:r>
      <w:bookmarkEnd w:id="347"/>
      <w:bookmarkEnd w:id="348"/>
      <w:bookmarkEnd w:id="349"/>
      <w:bookmarkEnd w:id="350"/>
    </w:p>
    <w:p>
      <w:pPr>
        <w:ind w:firstLine="560"/>
        <w:rPr>
          <w:rFonts w:ascii="Times New Roman" w:hAnsi="Times New Roman"/>
          <w:szCs w:val="28"/>
        </w:rPr>
      </w:pPr>
      <w:r>
        <w:rPr>
          <w:rFonts w:hint="eastAsia" w:ascii="Times New Roman" w:hAnsi="Times New Roman"/>
          <w:szCs w:val="28"/>
        </w:rPr>
        <w:t>基于抚远市岸线资源自然基础、开发利用现状、环境生态问题和岸线保护需要，研发集成模型，以对岸线开发与保护进行综合评价与分级分区，划分抚远市岸线管控类型；国家层面管控宏观指标，各省市依据岸线功能分类，制定自然岸线保有率中远期目标，科学优化岸线空间格局。</w:t>
      </w:r>
    </w:p>
    <w:p>
      <w:pPr>
        <w:keepNext/>
        <w:keepLines/>
        <w:ind w:firstLine="602"/>
        <w:jc w:val="left"/>
        <w:outlineLvl w:val="1"/>
        <w:rPr>
          <w:rFonts w:ascii="宋体" w:hAnsi="宋体" w:cs="黑体"/>
          <w:b/>
          <w:bCs/>
          <w:color w:val="000000"/>
          <w:sz w:val="30"/>
          <w:szCs w:val="32"/>
        </w:rPr>
      </w:pPr>
      <w:bookmarkStart w:id="351" w:name="_Toc77600854"/>
      <w:bookmarkStart w:id="352" w:name="_Toc77601376"/>
      <w:bookmarkStart w:id="353" w:name="_Toc77601194"/>
      <w:bookmarkStart w:id="354" w:name="_Toc74642440"/>
      <w:r>
        <w:rPr>
          <w:rFonts w:hint="eastAsia" w:ascii="宋体" w:hAnsi="宋体" w:cs="黑体"/>
          <w:b/>
          <w:bCs/>
          <w:color w:val="000000"/>
          <w:sz w:val="30"/>
          <w:szCs w:val="32"/>
        </w:rPr>
        <w:t>（三）加快受损岸线修复</w:t>
      </w:r>
      <w:bookmarkEnd w:id="351"/>
      <w:bookmarkEnd w:id="352"/>
      <w:bookmarkEnd w:id="353"/>
      <w:bookmarkEnd w:id="354"/>
    </w:p>
    <w:p>
      <w:pPr>
        <w:ind w:firstLine="560"/>
        <w:rPr>
          <w:rFonts w:ascii="Times New Roman" w:hAnsi="Times New Roman"/>
          <w:szCs w:val="28"/>
        </w:rPr>
      </w:pPr>
      <w:r>
        <w:rPr>
          <w:rFonts w:hint="eastAsia" w:ascii="Times New Roman" w:hAnsi="Times New Roman"/>
          <w:szCs w:val="28"/>
        </w:rPr>
        <w:t>针对抚远市湿地生态环境严重退化区域，开展湿地生态修复。加强抚远市岸线、河道的生态化设计，制定自然岸线修复保护总体方案，加强抚远市生态护岸工程设计。充分论证水生动物保护区、水产种质资源保护区等保护地保护范围向陆域延伸的可行性，完善抚远市保护地制度与体系。在推进岸线保护修复的过程中，要树立自然为主、人工为辅的理念，避免种草植树、建广场公园等面子工程。</w:t>
      </w:r>
    </w:p>
    <w:p>
      <w:pPr>
        <w:keepNext/>
        <w:keepLines/>
        <w:ind w:firstLine="602"/>
        <w:jc w:val="left"/>
        <w:outlineLvl w:val="1"/>
        <w:rPr>
          <w:rFonts w:ascii="宋体" w:hAnsi="宋体" w:cs="黑体"/>
          <w:b/>
          <w:bCs/>
          <w:color w:val="000000"/>
          <w:sz w:val="30"/>
          <w:szCs w:val="32"/>
        </w:rPr>
      </w:pPr>
      <w:bookmarkStart w:id="355" w:name="_Toc74642441"/>
      <w:bookmarkStart w:id="356" w:name="_Toc77600855"/>
      <w:bookmarkStart w:id="357" w:name="_Toc77601377"/>
      <w:bookmarkStart w:id="358" w:name="_Toc77601195"/>
      <w:r>
        <w:rPr>
          <w:rFonts w:hint="eastAsia" w:ascii="宋体" w:hAnsi="宋体" w:cs="黑体"/>
          <w:b/>
          <w:bCs/>
          <w:color w:val="000000"/>
          <w:sz w:val="30"/>
          <w:szCs w:val="32"/>
        </w:rPr>
        <w:t>（四）建立长期监测机制</w:t>
      </w:r>
      <w:bookmarkEnd w:id="355"/>
      <w:bookmarkEnd w:id="356"/>
      <w:bookmarkEnd w:id="357"/>
      <w:bookmarkEnd w:id="358"/>
    </w:p>
    <w:p>
      <w:pPr>
        <w:ind w:firstLine="560"/>
        <w:rPr>
          <w:rFonts w:ascii="Times New Roman" w:hAnsi="Times New Roman"/>
          <w:szCs w:val="28"/>
        </w:rPr>
      </w:pPr>
      <w:r>
        <w:rPr>
          <w:rFonts w:hint="eastAsia" w:ascii="Times New Roman" w:hAnsi="Times New Roman"/>
          <w:szCs w:val="28"/>
        </w:rPr>
        <w:t>建立和完善“监测-反馈”机制，对抚远市岸线利用及其生态环境影响开展长期监测和研究。定期对岸线利用、滨岸水域和陆域环境质量、生态功能变化进行阶段性评估，并反馈至管理决策系统。综合集成各项监测和统计数据，建设抚远市岸线资源管理大数据平台，开展智慧化、精准化管理。</w:t>
      </w:r>
    </w:p>
    <w:p>
      <w:pPr>
        <w:pStyle w:val="4"/>
      </w:pPr>
      <w:bookmarkStart w:id="359" w:name="_Toc77349642"/>
      <w:bookmarkStart w:id="360" w:name="_Toc77600856"/>
      <w:bookmarkStart w:id="361" w:name="_Toc77601378"/>
      <w:bookmarkStart w:id="362" w:name="_Toc1288345870_WPSOffice_Level2"/>
      <w:bookmarkStart w:id="363" w:name="_Toc77601196"/>
      <w:bookmarkStart w:id="364" w:name="_Toc1542924197_WPSOffice_Level2"/>
      <w:bookmarkStart w:id="365" w:name="_Toc3460"/>
      <w:r>
        <w:t>第</w:t>
      </w:r>
      <w:r>
        <w:rPr>
          <w:rFonts w:hint="eastAsia"/>
        </w:rPr>
        <w:t>二</w:t>
      </w:r>
      <w:r>
        <w:t>节</w:t>
      </w:r>
      <w:r>
        <w:rPr>
          <w:rFonts w:hint="eastAsia"/>
        </w:rPr>
        <w:t xml:space="preserve">  </w:t>
      </w:r>
      <w:r>
        <w:t>生态经济体系建设</w:t>
      </w:r>
      <w:bookmarkEnd w:id="359"/>
      <w:bookmarkEnd w:id="360"/>
      <w:bookmarkEnd w:id="361"/>
      <w:bookmarkEnd w:id="362"/>
      <w:bookmarkEnd w:id="363"/>
      <w:bookmarkEnd w:id="364"/>
      <w:bookmarkEnd w:id="365"/>
    </w:p>
    <w:p>
      <w:pPr>
        <w:pStyle w:val="5"/>
      </w:pPr>
      <w:bookmarkStart w:id="366" w:name="_Toc868347179_WPSOffice_Level3"/>
      <w:bookmarkStart w:id="367" w:name="_Toc77349643"/>
      <w:bookmarkStart w:id="368" w:name="_Toc138"/>
      <w:bookmarkStart w:id="369" w:name="_Toc77601197"/>
      <w:bookmarkStart w:id="370" w:name="_Toc125045085_WPSOffice_Level3"/>
      <w:bookmarkStart w:id="371" w:name="_Toc77601379"/>
      <w:r>
        <w:t>一、生态产业发展</w:t>
      </w:r>
      <w:bookmarkEnd w:id="366"/>
      <w:bookmarkEnd w:id="367"/>
      <w:bookmarkEnd w:id="368"/>
      <w:bookmarkEnd w:id="369"/>
      <w:bookmarkEnd w:id="370"/>
      <w:bookmarkEnd w:id="371"/>
    </w:p>
    <w:p>
      <w:pPr>
        <w:spacing w:line="600" w:lineRule="exact"/>
        <w:ind w:firstLine="596" w:firstLineChars="198"/>
        <w:outlineLvl w:val="3"/>
        <w:rPr>
          <w:b/>
          <w:sz w:val="30"/>
          <w:szCs w:val="30"/>
        </w:rPr>
      </w:pPr>
      <w:r>
        <w:rPr>
          <w:b/>
          <w:sz w:val="30"/>
          <w:szCs w:val="30"/>
        </w:rPr>
        <w:t>（一）</w:t>
      </w:r>
      <w:r>
        <w:rPr>
          <w:rFonts w:hint="eastAsia"/>
          <w:b/>
          <w:sz w:val="30"/>
          <w:szCs w:val="30"/>
        </w:rPr>
        <w:t>总体思路及任务措施</w:t>
      </w:r>
    </w:p>
    <w:p>
      <w:pPr>
        <w:keepNext/>
        <w:keepLines/>
        <w:ind w:firstLine="602"/>
        <w:jc w:val="left"/>
        <w:outlineLvl w:val="1"/>
        <w:rPr>
          <w:rFonts w:ascii="宋体" w:hAnsi="宋体" w:cs="黑体"/>
          <w:b/>
          <w:bCs/>
          <w:color w:val="000000"/>
          <w:sz w:val="30"/>
          <w:szCs w:val="32"/>
        </w:rPr>
      </w:pPr>
      <w:bookmarkStart w:id="372" w:name="_Toc74642444"/>
      <w:bookmarkStart w:id="373" w:name="_Toc77600857"/>
      <w:bookmarkStart w:id="374" w:name="_Toc77601198"/>
      <w:bookmarkStart w:id="375" w:name="_Toc77601380"/>
      <w:r>
        <w:rPr>
          <w:rFonts w:hint="eastAsia" w:ascii="宋体" w:hAnsi="宋体" w:cs="黑体"/>
          <w:b/>
          <w:bCs/>
          <w:color w:val="000000"/>
          <w:sz w:val="30"/>
          <w:szCs w:val="32"/>
        </w:rPr>
        <w:t>（1）抓好产业带动，带动增收致富</w:t>
      </w:r>
      <w:bookmarkEnd w:id="372"/>
      <w:bookmarkEnd w:id="373"/>
      <w:bookmarkEnd w:id="374"/>
      <w:bookmarkEnd w:id="375"/>
    </w:p>
    <w:p>
      <w:pPr>
        <w:ind w:firstLine="560"/>
        <w:rPr>
          <w:rFonts w:ascii="Times New Roman" w:hAnsi="Times New Roman"/>
          <w:szCs w:val="28"/>
        </w:rPr>
      </w:pPr>
      <w:r>
        <w:rPr>
          <w:rFonts w:ascii="Times New Roman" w:hAnsi="Times New Roman"/>
          <w:szCs w:val="28"/>
        </w:rPr>
        <w:t>本着</w:t>
      </w:r>
      <w:r>
        <w:rPr>
          <w:rFonts w:ascii="宋体" w:hAnsi="宋体"/>
          <w:szCs w:val="28"/>
        </w:rPr>
        <w:t>“一乡一特”</w:t>
      </w:r>
      <w:r>
        <w:rPr>
          <w:rFonts w:hint="eastAsia" w:ascii="宋体" w:hAnsi="宋体"/>
          <w:szCs w:val="28"/>
        </w:rPr>
        <w:t>、</w:t>
      </w:r>
      <w:r>
        <w:rPr>
          <w:rFonts w:ascii="宋体" w:hAnsi="宋体"/>
          <w:szCs w:val="28"/>
        </w:rPr>
        <w:t>“一村一品”</w:t>
      </w:r>
      <w:r>
        <w:rPr>
          <w:rFonts w:ascii="Times New Roman" w:hAnsi="Times New Roman"/>
          <w:szCs w:val="28"/>
        </w:rPr>
        <w:t>的原则，继续扶持壮大现有的主导产业，完善产业链，形成规模，带动增收致富。总结红山草猪、木耳菌、畜禽养殖等庭院经济的成功经验，鼓励群众积极参与，探索以村为单位成立庭院养殖、种植合作社，形成合力、规范发展。依托“共享账户”资金，发挥产业项目管理中心杠杆作用，探索扶持专业合作社和家庭农场、种植大户发展产业项目新路子，鼓励贫困群众将获得的共享分红入股，成立利益联结体，切实增强</w:t>
      </w:r>
      <w:r>
        <w:rPr>
          <w:rFonts w:hint="eastAsia" w:ascii="Times New Roman" w:hAnsi="Times New Roman"/>
          <w:szCs w:val="28"/>
        </w:rPr>
        <w:t>“</w:t>
      </w:r>
      <w:r>
        <w:rPr>
          <w:rFonts w:ascii="Times New Roman" w:hAnsi="Times New Roman"/>
          <w:szCs w:val="28"/>
        </w:rPr>
        <w:t>造血</w:t>
      </w:r>
      <w:r>
        <w:rPr>
          <w:rFonts w:hint="eastAsia" w:ascii="Times New Roman" w:hAnsi="Times New Roman"/>
          <w:szCs w:val="28"/>
        </w:rPr>
        <w:t>”</w:t>
      </w:r>
      <w:r>
        <w:rPr>
          <w:rFonts w:ascii="Times New Roman" w:hAnsi="Times New Roman"/>
          <w:szCs w:val="28"/>
        </w:rPr>
        <w:t>功能。</w:t>
      </w:r>
    </w:p>
    <w:p>
      <w:pPr>
        <w:keepNext/>
        <w:keepLines/>
        <w:ind w:firstLine="602"/>
        <w:jc w:val="left"/>
        <w:outlineLvl w:val="1"/>
        <w:rPr>
          <w:rFonts w:ascii="宋体" w:hAnsi="宋体" w:cs="黑体"/>
          <w:b/>
          <w:bCs/>
          <w:color w:val="000000"/>
          <w:sz w:val="30"/>
          <w:szCs w:val="32"/>
        </w:rPr>
      </w:pPr>
      <w:bookmarkStart w:id="376" w:name="_Toc74642445"/>
      <w:bookmarkStart w:id="377" w:name="_Toc77600858"/>
      <w:bookmarkStart w:id="378" w:name="_Toc77601199"/>
      <w:bookmarkStart w:id="379" w:name="_Toc77601381"/>
      <w:r>
        <w:rPr>
          <w:rFonts w:hint="eastAsia" w:ascii="宋体" w:hAnsi="宋体" w:cs="黑体"/>
          <w:b/>
          <w:bCs/>
          <w:color w:val="000000"/>
          <w:sz w:val="30"/>
          <w:szCs w:val="32"/>
        </w:rPr>
        <w:t>（2）聚焦特色产业，在加快发展上精准发力</w:t>
      </w:r>
      <w:bookmarkEnd w:id="376"/>
      <w:bookmarkEnd w:id="377"/>
      <w:bookmarkEnd w:id="378"/>
      <w:bookmarkEnd w:id="379"/>
    </w:p>
    <w:p>
      <w:pPr>
        <w:ind w:firstLine="560"/>
        <w:rPr>
          <w:rFonts w:ascii="Times New Roman" w:hAnsi="Times New Roman"/>
          <w:szCs w:val="28"/>
        </w:rPr>
      </w:pPr>
      <w:r>
        <w:rPr>
          <w:rFonts w:ascii="Times New Roman" w:hAnsi="Times New Roman"/>
          <w:szCs w:val="28"/>
        </w:rPr>
        <w:t>依托地缘、资源优势，用活用好用足产业扶持政策，做实做细做精招商引资工作，加快优势转化，变资源为资本，协调推进旅游、农业、商贸、渔业、工业等特色产业。推进旅游产业。实施旅游兴市战略，以发展全域旅游为目标，全面优化旅游资源、旅游功能和产业布局，推进线上线下有机融</w:t>
      </w:r>
      <w:r>
        <w:rPr>
          <w:rFonts w:ascii="宋体" w:hAnsi="宋体"/>
          <w:szCs w:val="28"/>
        </w:rPr>
        <w:t>合，将“华夏东极”</w:t>
      </w:r>
      <w:r>
        <w:rPr>
          <w:rFonts w:hint="eastAsia" w:ascii="宋体" w:hAnsi="宋体"/>
          <w:szCs w:val="28"/>
        </w:rPr>
        <w:t>、</w:t>
      </w:r>
      <w:r>
        <w:rPr>
          <w:rFonts w:ascii="宋体" w:hAnsi="宋体"/>
          <w:szCs w:val="28"/>
        </w:rPr>
        <w:t>“两国一岛”</w:t>
      </w:r>
      <w:r>
        <w:rPr>
          <w:rFonts w:hint="eastAsia" w:ascii="宋体" w:hAnsi="宋体"/>
          <w:szCs w:val="28"/>
        </w:rPr>
        <w:t>、</w:t>
      </w:r>
      <w:r>
        <w:rPr>
          <w:rFonts w:ascii="宋体" w:hAnsi="宋体"/>
          <w:szCs w:val="28"/>
        </w:rPr>
        <w:t>“两江双城”</w:t>
      </w:r>
      <w:r>
        <w:rPr>
          <w:rFonts w:hint="eastAsia" w:ascii="宋体" w:hAnsi="宋体"/>
          <w:szCs w:val="28"/>
        </w:rPr>
        <w:t>、</w:t>
      </w:r>
      <w:r>
        <w:rPr>
          <w:rFonts w:ascii="宋体" w:hAnsi="宋体"/>
          <w:szCs w:val="28"/>
        </w:rPr>
        <w:t>“淡水鱼都”打造成闻名遐迩的抚远名片。完善“三带五区十大景点”</w:t>
      </w:r>
      <w:r>
        <w:rPr>
          <w:rFonts w:ascii="Times New Roman" w:hAnsi="Times New Roman"/>
          <w:szCs w:val="28"/>
        </w:rPr>
        <w:t>，加快华夏东极国家森林公园、渔人码头、乌苏镇游客码头等项目建设，切实增强旅游服务功能。积极研发具有地方文化底蕴的旅游纪念品、特色小商品，切实增加旅游收入。充分发挥抚远在内地、哈巴间重要节点作用，做优跨境旅游精品线路，实现跨境游提档升级。注重提升黑瞎子岛景区品质，突出抓好环岛游、界江游、观日游、祈福游、婚庆游。依托乌苏里船歌旅游风光带，加大对抓吉赫哲民俗营销力度，高水准发展</w:t>
      </w:r>
      <w:r>
        <w:rPr>
          <w:rFonts w:ascii="宋体" w:hAnsi="宋体" w:cs="Times New Roman"/>
          <w:szCs w:val="28"/>
        </w:rPr>
        <w:t>“农家乐”</w:t>
      </w:r>
      <w:r>
        <w:rPr>
          <w:rFonts w:hint="eastAsia" w:ascii="宋体" w:hAnsi="宋体" w:cs="Times New Roman"/>
          <w:szCs w:val="28"/>
        </w:rPr>
        <w:t>、</w:t>
      </w:r>
      <w:r>
        <w:rPr>
          <w:rFonts w:ascii="宋体" w:hAnsi="宋体" w:cs="Times New Roman"/>
          <w:szCs w:val="28"/>
        </w:rPr>
        <w:t>“渔家乐”，</w:t>
      </w:r>
      <w:r>
        <w:rPr>
          <w:rFonts w:ascii="Times New Roman" w:hAnsi="Times New Roman"/>
          <w:szCs w:val="28"/>
        </w:rPr>
        <w:t>培育旅游产业发展新的增长点</w:t>
      </w:r>
      <w:r>
        <w:rPr>
          <w:rFonts w:hint="eastAsia" w:ascii="Times New Roman" w:hAnsi="Times New Roman"/>
          <w:szCs w:val="28"/>
        </w:rPr>
        <w:t>。</w:t>
      </w:r>
      <w:r>
        <w:rPr>
          <w:rFonts w:ascii="Times New Roman" w:hAnsi="Times New Roman"/>
          <w:szCs w:val="28"/>
        </w:rPr>
        <w:t>依托蔓越莓产业，不断丰富农业生态观光游产品。挖掘</w:t>
      </w:r>
      <w:r>
        <w:rPr>
          <w:rFonts w:ascii="宋体" w:hAnsi="宋体"/>
          <w:szCs w:val="28"/>
        </w:rPr>
        <w:t>“冰天雪地”</w:t>
      </w:r>
      <w:r>
        <w:rPr>
          <w:rFonts w:ascii="Times New Roman" w:hAnsi="Times New Roman"/>
          <w:szCs w:val="28"/>
        </w:rPr>
        <w:t>优势，结合乡村实际，开发雪地娱乐旅游产品，打造具有地域特色的自驾游营地。强化全域旅游的依法治理，维护旅游市场秩序。推进现代农业。深入推进农业供给侧结构性改革，以</w:t>
      </w:r>
      <w:r>
        <w:rPr>
          <w:rFonts w:hint="eastAsia" w:ascii="Times New Roman" w:hAnsi="Times New Roman"/>
          <w:szCs w:val="28"/>
        </w:rPr>
        <w:t>“</w:t>
      </w:r>
      <w:r>
        <w:rPr>
          <w:rFonts w:ascii="Times New Roman" w:hAnsi="Times New Roman"/>
          <w:szCs w:val="28"/>
        </w:rPr>
        <w:t>粮头食尾</w:t>
      </w:r>
      <w:r>
        <w:rPr>
          <w:rFonts w:hint="eastAsia" w:ascii="Times New Roman" w:hAnsi="Times New Roman"/>
          <w:szCs w:val="28"/>
        </w:rPr>
        <w:t>”、“</w:t>
      </w:r>
      <w:r>
        <w:rPr>
          <w:rFonts w:ascii="Times New Roman" w:hAnsi="Times New Roman"/>
          <w:szCs w:val="28"/>
        </w:rPr>
        <w:t>农头工尾</w:t>
      </w:r>
      <w:r>
        <w:rPr>
          <w:rFonts w:hint="eastAsia" w:ascii="Times New Roman" w:hAnsi="Times New Roman"/>
          <w:szCs w:val="28"/>
        </w:rPr>
        <w:t>”</w:t>
      </w:r>
      <w:r>
        <w:rPr>
          <w:rFonts w:ascii="Times New Roman" w:hAnsi="Times New Roman"/>
          <w:szCs w:val="28"/>
        </w:rPr>
        <w:t>为抓手，坚持</w:t>
      </w:r>
      <w:r>
        <w:rPr>
          <w:rFonts w:hint="eastAsia" w:ascii="Times New Roman" w:hAnsi="Times New Roman"/>
          <w:szCs w:val="28"/>
        </w:rPr>
        <w:t>“</w:t>
      </w:r>
      <w:r>
        <w:rPr>
          <w:rFonts w:ascii="Times New Roman" w:hAnsi="Times New Roman"/>
          <w:szCs w:val="28"/>
        </w:rPr>
        <w:t>绿色、生态、有机</w:t>
      </w:r>
      <w:r>
        <w:rPr>
          <w:rFonts w:hint="eastAsia" w:ascii="Times New Roman" w:hAnsi="Times New Roman"/>
          <w:szCs w:val="28"/>
        </w:rPr>
        <w:t>”</w:t>
      </w:r>
      <w:r>
        <w:rPr>
          <w:rFonts w:ascii="Times New Roman" w:hAnsi="Times New Roman"/>
          <w:szCs w:val="28"/>
        </w:rPr>
        <w:t>发展模式，借助乌苏里江之水，逐步发展江灌水稻，依托佳木斯大米品牌营销渠道，推进抚远大米</w:t>
      </w:r>
      <w:r>
        <w:rPr>
          <w:rFonts w:hint="eastAsia" w:ascii="Times New Roman" w:hAnsi="Times New Roman"/>
          <w:szCs w:val="28"/>
        </w:rPr>
        <w:t>“</w:t>
      </w:r>
      <w:r>
        <w:rPr>
          <w:rFonts w:ascii="Times New Roman" w:hAnsi="Times New Roman"/>
          <w:szCs w:val="28"/>
        </w:rPr>
        <w:t>走出去</w:t>
      </w:r>
      <w:r>
        <w:rPr>
          <w:rFonts w:hint="eastAsia" w:ascii="Times New Roman" w:hAnsi="Times New Roman"/>
          <w:szCs w:val="28"/>
        </w:rPr>
        <w:t>”、“</w:t>
      </w:r>
      <w:r>
        <w:rPr>
          <w:rFonts w:ascii="Times New Roman" w:hAnsi="Times New Roman"/>
          <w:szCs w:val="28"/>
        </w:rPr>
        <w:t>卖得好</w:t>
      </w:r>
      <w:r>
        <w:rPr>
          <w:rFonts w:hint="eastAsia" w:ascii="Times New Roman" w:hAnsi="Times New Roman"/>
          <w:szCs w:val="28"/>
        </w:rPr>
        <w:t>”</w:t>
      </w:r>
      <w:r>
        <w:rPr>
          <w:rFonts w:ascii="Times New Roman" w:hAnsi="Times New Roman"/>
          <w:szCs w:val="28"/>
        </w:rPr>
        <w:t>，打造具有抚远特色</w:t>
      </w:r>
      <w:r>
        <w:rPr>
          <w:rFonts w:hint="eastAsia" w:ascii="Times New Roman" w:hAnsi="Times New Roman"/>
          <w:szCs w:val="28"/>
        </w:rPr>
        <w:t>“</w:t>
      </w:r>
      <w:r>
        <w:rPr>
          <w:rFonts w:ascii="Times New Roman" w:hAnsi="Times New Roman"/>
          <w:szCs w:val="28"/>
        </w:rPr>
        <w:t>种植+加工+营销</w:t>
      </w:r>
      <w:r>
        <w:rPr>
          <w:rFonts w:hint="eastAsia" w:ascii="Times New Roman" w:hAnsi="Times New Roman"/>
          <w:szCs w:val="28"/>
        </w:rPr>
        <w:t>”</w:t>
      </w:r>
      <w:r>
        <w:rPr>
          <w:rFonts w:ascii="Times New Roman" w:hAnsi="Times New Roman"/>
          <w:szCs w:val="28"/>
        </w:rPr>
        <w:t>一条龙的农业产业链。</w:t>
      </w:r>
    </w:p>
    <w:p>
      <w:pPr>
        <w:keepNext/>
        <w:keepLines/>
        <w:ind w:firstLine="602"/>
        <w:jc w:val="left"/>
        <w:outlineLvl w:val="1"/>
        <w:rPr>
          <w:rFonts w:ascii="宋体" w:hAnsi="宋体" w:cs="黑体"/>
          <w:b/>
          <w:bCs/>
          <w:color w:val="000000"/>
          <w:sz w:val="30"/>
          <w:szCs w:val="32"/>
        </w:rPr>
      </w:pPr>
      <w:bookmarkStart w:id="380" w:name="_Toc77601382"/>
      <w:bookmarkStart w:id="381" w:name="_Toc74642446"/>
      <w:bookmarkStart w:id="382" w:name="_Toc77601200"/>
      <w:bookmarkStart w:id="383" w:name="_Toc77600859"/>
      <w:r>
        <w:rPr>
          <w:rFonts w:hint="eastAsia" w:ascii="宋体" w:hAnsi="宋体" w:cs="黑体"/>
          <w:b/>
          <w:bCs/>
          <w:color w:val="000000"/>
          <w:sz w:val="30"/>
          <w:szCs w:val="32"/>
        </w:rPr>
        <w:t>（3）推进粮食生产功能区和农产品生产保护区“两区”建设</w:t>
      </w:r>
      <w:bookmarkEnd w:id="380"/>
      <w:bookmarkEnd w:id="381"/>
      <w:bookmarkEnd w:id="382"/>
      <w:bookmarkEnd w:id="383"/>
    </w:p>
    <w:p>
      <w:pPr>
        <w:ind w:firstLine="560"/>
        <w:rPr>
          <w:rFonts w:ascii="Times New Roman" w:hAnsi="Times New Roman"/>
          <w:szCs w:val="28"/>
        </w:rPr>
      </w:pPr>
      <w:r>
        <w:rPr>
          <w:rFonts w:ascii="Times New Roman" w:hAnsi="Times New Roman"/>
          <w:szCs w:val="28"/>
        </w:rPr>
        <w:t>落实粮食安全行政首长责任制，切实稳定发展粮食生产。加强与东北农业大学、农业科研院所合作，促进农业科研成果落地，突出抓好万亩水稻科技示范园区、对俄果蔬、蔓越莓等重点产业，逐步扩大基地规模，促进一二三产</w:t>
      </w:r>
      <w:r>
        <w:rPr>
          <w:rFonts w:hint="eastAsia" w:ascii="Times New Roman" w:hAnsi="Times New Roman"/>
          <w:szCs w:val="28"/>
        </w:rPr>
        <w:t>业</w:t>
      </w:r>
      <w:r>
        <w:rPr>
          <w:rFonts w:ascii="Times New Roman" w:hAnsi="Times New Roman"/>
          <w:szCs w:val="28"/>
        </w:rPr>
        <w:t>融合发展。加强“三品一标”认证，壮大农业龙头企业，创建国家级示范社1家、省级示范社2家，省级家庭农场2家。强力推进农田基础设施建设，完成高标准农田建设10万亩，加快推进乌苏镇灌区一期田间配套工程，实现灌溉面积16万亩。推进商贸产业。整合招商优惠政策，调动各种招商引资资源和力量，注重招商质量和成效，着力引进一批投资额度大、附加值高、带动作用强的基地型产业项目落地抚远。依托阿里、京东等有投资意向的知名电商，规范跨境电商平台建设，打造跨境电商基地。进一步落实兴边富民政策，扩大边民互市贸易规模，力争商品种类增加到2万个，实现进口贸易额1000万美元。</w:t>
      </w:r>
    </w:p>
    <w:p>
      <w:pPr>
        <w:keepNext/>
        <w:keepLines/>
        <w:ind w:firstLine="602"/>
        <w:jc w:val="left"/>
        <w:outlineLvl w:val="1"/>
        <w:rPr>
          <w:rFonts w:ascii="宋体" w:hAnsi="宋体" w:cs="Times New Roman"/>
          <w:b/>
          <w:bCs/>
          <w:color w:val="000000"/>
          <w:sz w:val="30"/>
          <w:szCs w:val="32"/>
        </w:rPr>
      </w:pPr>
      <w:bookmarkStart w:id="384" w:name="_Toc74642447"/>
      <w:bookmarkStart w:id="385" w:name="_Toc77601201"/>
      <w:bookmarkStart w:id="386" w:name="_Toc77600860"/>
      <w:bookmarkStart w:id="387" w:name="_Toc77601383"/>
      <w:r>
        <w:rPr>
          <w:rFonts w:hint="eastAsia" w:ascii="宋体" w:hAnsi="宋体" w:cs="黑体"/>
          <w:b/>
          <w:bCs/>
          <w:color w:val="000000"/>
          <w:sz w:val="30"/>
          <w:szCs w:val="32"/>
        </w:rPr>
        <w:t>（4）推进特色渔业</w:t>
      </w:r>
      <w:bookmarkEnd w:id="384"/>
      <w:bookmarkEnd w:id="385"/>
      <w:bookmarkEnd w:id="386"/>
      <w:bookmarkEnd w:id="387"/>
    </w:p>
    <w:p>
      <w:pPr>
        <w:ind w:firstLine="560"/>
        <w:rPr>
          <w:rFonts w:ascii="宋体" w:hAnsi="宋体"/>
          <w:szCs w:val="28"/>
        </w:rPr>
      </w:pPr>
      <w:r>
        <w:rPr>
          <w:rFonts w:ascii="宋体" w:hAnsi="宋体"/>
          <w:szCs w:val="28"/>
        </w:rPr>
        <w:t>依托丰富的渔业资源，建设以养代捕、捕养结合、捕养加游一体化的现代渔业产业链，着力打造全国知名的淡水鱼都。培养一批专业水产养殖户、家庭渔场、水产养殖专业合作社，不断扩大水产养殖规模，促进传统渔业向现代渔业转变。探索延伸野生鱼产品深加工，打响抚远野生鱼品牌，切实增加渔业产业效益。加大渔业资源保护和涵养力度，抓好禁渔期、禁渔区、种质资源保护区管理，做好野生鲟鳇鱼保护，进一步规范鱼品交易市场，持续开展渔业增殖放流，促进渔业可持续发展。推进新兴工业。依托莽吉塔港园经济区建设，按照“谁投资、谁受益”的原则，加大招商引资力度，拓宽融资渠道，鼓励社会资本参与园区建设。面向国内国际市场需求，积极引进俄罗斯林木资源发展木材加工，引进粮食资源发展农副产品加工，引进水产资源发展水产品加工，延伸产业链条，为抚远深度融入共建</w:t>
      </w:r>
      <w:r>
        <w:rPr>
          <w:rFonts w:hint="eastAsia" w:ascii="宋体" w:hAnsi="宋体"/>
          <w:szCs w:val="28"/>
        </w:rPr>
        <w:t>“</w:t>
      </w:r>
      <w:r>
        <w:rPr>
          <w:rFonts w:ascii="宋体" w:hAnsi="宋体"/>
          <w:szCs w:val="28"/>
        </w:rPr>
        <w:t>一带一路</w:t>
      </w:r>
      <w:r>
        <w:rPr>
          <w:rFonts w:hint="eastAsia" w:ascii="宋体" w:hAnsi="宋体"/>
          <w:szCs w:val="28"/>
        </w:rPr>
        <w:t>”</w:t>
      </w:r>
      <w:r>
        <w:rPr>
          <w:rFonts w:ascii="宋体" w:hAnsi="宋体"/>
          <w:szCs w:val="28"/>
        </w:rPr>
        <w:t>，建设开放合作高地奠定坚实基础</w:t>
      </w:r>
      <w:r>
        <w:rPr>
          <w:rFonts w:hint="eastAsia" w:ascii="宋体" w:hAnsi="宋体"/>
          <w:szCs w:val="28"/>
        </w:rPr>
        <w:t>。</w:t>
      </w:r>
    </w:p>
    <w:p>
      <w:pPr>
        <w:pStyle w:val="5"/>
      </w:pPr>
      <w:bookmarkStart w:id="388" w:name="_Toc31175"/>
      <w:bookmarkStart w:id="389" w:name="_Toc77601384"/>
      <w:bookmarkStart w:id="390" w:name="_Toc12172441_WPSOffice_Level3"/>
      <w:bookmarkStart w:id="391" w:name="_Toc77349644"/>
      <w:bookmarkStart w:id="392" w:name="_Toc1393736829_WPSOffice_Level3"/>
      <w:bookmarkStart w:id="393" w:name="_Toc77601202"/>
      <w:bookmarkStart w:id="394" w:name="_Toc74642449"/>
      <w:r>
        <w:t>二、产业结构调整</w:t>
      </w:r>
      <w:bookmarkEnd w:id="388"/>
      <w:bookmarkEnd w:id="389"/>
      <w:bookmarkEnd w:id="390"/>
      <w:bookmarkEnd w:id="391"/>
      <w:bookmarkEnd w:id="392"/>
      <w:bookmarkEnd w:id="393"/>
    </w:p>
    <w:p>
      <w:pPr>
        <w:spacing w:line="600" w:lineRule="exact"/>
        <w:ind w:firstLine="596" w:firstLineChars="198"/>
        <w:outlineLvl w:val="3"/>
        <w:rPr>
          <w:rFonts w:ascii="宋体" w:hAnsi="宋体"/>
        </w:rPr>
      </w:pPr>
      <w:r>
        <w:rPr>
          <w:rFonts w:ascii="宋体" w:hAnsi="宋体"/>
          <w:b/>
          <w:sz w:val="30"/>
          <w:szCs w:val="30"/>
        </w:rPr>
        <w:t>（一）</w:t>
      </w:r>
      <w:r>
        <w:rPr>
          <w:rFonts w:hint="eastAsia" w:ascii="宋体" w:hAnsi="宋体"/>
          <w:b/>
          <w:sz w:val="30"/>
          <w:szCs w:val="30"/>
        </w:rPr>
        <w:t>总体思路与任务措施</w:t>
      </w:r>
    </w:p>
    <w:p>
      <w:pPr>
        <w:keepNext/>
        <w:keepLines/>
        <w:ind w:firstLine="602"/>
        <w:jc w:val="left"/>
        <w:outlineLvl w:val="1"/>
        <w:rPr>
          <w:rFonts w:ascii="宋体" w:hAnsi="宋体" w:cs="黑体"/>
          <w:b/>
          <w:bCs/>
          <w:color w:val="000000"/>
          <w:sz w:val="30"/>
          <w:szCs w:val="32"/>
        </w:rPr>
      </w:pPr>
      <w:bookmarkStart w:id="395" w:name="_Toc77601385"/>
      <w:bookmarkStart w:id="396" w:name="_Toc77600861"/>
      <w:bookmarkStart w:id="397" w:name="_Toc77601203"/>
      <w:r>
        <w:rPr>
          <w:rFonts w:hint="eastAsia" w:ascii="宋体" w:hAnsi="宋体" w:cs="黑体"/>
          <w:b/>
          <w:bCs/>
          <w:color w:val="000000"/>
          <w:sz w:val="30"/>
          <w:szCs w:val="32"/>
        </w:rPr>
        <w:t>（1）落实乡村振兴战略实施方案</w:t>
      </w:r>
      <w:bookmarkEnd w:id="394"/>
      <w:bookmarkEnd w:id="395"/>
      <w:bookmarkEnd w:id="396"/>
      <w:bookmarkEnd w:id="397"/>
    </w:p>
    <w:p>
      <w:pPr>
        <w:ind w:firstLine="560"/>
        <w:rPr>
          <w:rFonts w:ascii="Times New Roman" w:hAnsi="Times New Roman"/>
          <w:szCs w:val="28"/>
        </w:rPr>
      </w:pPr>
      <w:r>
        <w:rPr>
          <w:rFonts w:ascii="Times New Roman" w:hAnsi="Times New Roman"/>
          <w:szCs w:val="28"/>
        </w:rPr>
        <w:t>从产业、文化、生态、人才、组织五个方面推动农业全面升级、农村全面进步、农民全面发展。加快产业转型升级。切实发挥粮食生产功能区和特色农产品保护区作用，继续深化种植结构调整，改造高</w:t>
      </w:r>
      <w:r>
        <w:rPr>
          <w:rFonts w:ascii="宋体" w:hAnsi="宋体"/>
          <w:szCs w:val="28"/>
        </w:rPr>
        <w:t>标准农田，进一步夯实粮食安全保障；加大农业科技示范引领，抓好“两头两尾”，逐步扩大万亩水稻科技示范园区、对俄果蔬基地、蔓越莓种植基地规模；以玖成合作社为龙头，依托乌苏镇灌区，大力发展农产品精深加工</w:t>
      </w:r>
      <w:r>
        <w:rPr>
          <w:rFonts w:ascii="Times New Roman" w:hAnsi="Times New Roman"/>
          <w:szCs w:val="28"/>
        </w:rPr>
        <w:t>，拓展对外销售渠道，打造绿色有机产业体系；落实生猪</w:t>
      </w:r>
      <w:r>
        <w:rPr>
          <w:rFonts w:ascii="宋体" w:hAnsi="宋体"/>
          <w:szCs w:val="28"/>
        </w:rPr>
        <w:t>生产“菜篮子”工程，加强畜禽产品稳产保供；推动一二三产融合，支持农村电商发展，推进互联网+农业综合平台的应用，发展休闲观光农业，不断夯实乡村振兴经济基础。构建现代商贸体系。推进“双招双引”，积极支持培育本土企业做大做强，研究出台抚远经济开发区入园企业扶持政策，大力扶持商贸龙头企业；依</w:t>
      </w:r>
      <w:r>
        <w:rPr>
          <w:rFonts w:ascii="Times New Roman" w:hAnsi="Times New Roman"/>
          <w:szCs w:val="28"/>
        </w:rPr>
        <w:t>托多功能口岸优势，积极打造对俄区域性商贸物流集散中心</w:t>
      </w:r>
      <w:r>
        <w:rPr>
          <w:rFonts w:hint="eastAsia" w:ascii="Times New Roman" w:hAnsi="Times New Roman"/>
          <w:szCs w:val="28"/>
        </w:rPr>
        <w:t>。</w:t>
      </w:r>
    </w:p>
    <w:p>
      <w:pPr>
        <w:keepNext/>
        <w:keepLines/>
        <w:ind w:firstLine="602"/>
        <w:jc w:val="left"/>
        <w:outlineLvl w:val="1"/>
        <w:rPr>
          <w:rFonts w:ascii="宋体" w:hAnsi="宋体" w:cs="黑体"/>
          <w:b/>
          <w:bCs/>
          <w:color w:val="000000"/>
          <w:sz w:val="30"/>
          <w:szCs w:val="32"/>
        </w:rPr>
      </w:pPr>
      <w:bookmarkStart w:id="398" w:name="_Toc74642450"/>
      <w:bookmarkStart w:id="399" w:name="_Toc77600862"/>
      <w:bookmarkStart w:id="400" w:name="_Toc77601204"/>
      <w:bookmarkStart w:id="401" w:name="_Toc77601386"/>
      <w:r>
        <w:rPr>
          <w:rFonts w:hint="eastAsia" w:ascii="宋体" w:hAnsi="宋体" w:cs="黑体"/>
          <w:b/>
          <w:bCs/>
          <w:color w:val="000000"/>
          <w:sz w:val="30"/>
          <w:szCs w:val="32"/>
        </w:rPr>
        <w:t>（2）聚焦抚远优势资源和特色产业</w:t>
      </w:r>
      <w:bookmarkEnd w:id="398"/>
      <w:bookmarkEnd w:id="399"/>
      <w:bookmarkEnd w:id="400"/>
      <w:bookmarkEnd w:id="401"/>
    </w:p>
    <w:p>
      <w:pPr>
        <w:ind w:firstLine="560"/>
        <w:rPr>
          <w:rFonts w:ascii="Times New Roman" w:hAnsi="Times New Roman"/>
          <w:szCs w:val="28"/>
        </w:rPr>
      </w:pPr>
      <w:r>
        <w:rPr>
          <w:rFonts w:ascii="Times New Roman" w:hAnsi="Times New Roman"/>
          <w:szCs w:val="28"/>
        </w:rPr>
        <w:t>积极打造统一品牌和电商特色产品。强化科技创新驱动。依托俄罗斯能源、木材和抚远当地农产品及渔业资源，延长产业链条，全力推动跨境农业产业园建设，努力构建区、港、路一体化发展产业格局。加快推进云数据中心建设，打造祖国最东数据中心。</w:t>
      </w:r>
    </w:p>
    <w:p>
      <w:pPr>
        <w:keepNext/>
        <w:keepLines/>
        <w:ind w:firstLine="602"/>
        <w:jc w:val="left"/>
        <w:outlineLvl w:val="1"/>
        <w:rPr>
          <w:rFonts w:ascii="宋体" w:hAnsi="宋体" w:cs="黑体"/>
          <w:b/>
          <w:bCs/>
          <w:color w:val="000000"/>
          <w:sz w:val="30"/>
          <w:szCs w:val="32"/>
        </w:rPr>
      </w:pPr>
      <w:bookmarkStart w:id="402" w:name="_Toc74642451"/>
      <w:bookmarkStart w:id="403" w:name="_Toc77601205"/>
      <w:bookmarkStart w:id="404" w:name="_Toc77600863"/>
      <w:bookmarkStart w:id="405" w:name="_Toc77601387"/>
      <w:r>
        <w:rPr>
          <w:rFonts w:hint="eastAsia" w:ascii="宋体" w:hAnsi="宋体" w:cs="黑体"/>
          <w:b/>
          <w:bCs/>
          <w:color w:val="000000"/>
          <w:sz w:val="30"/>
          <w:szCs w:val="32"/>
        </w:rPr>
        <w:t>（3）实施旅游提升工程</w:t>
      </w:r>
      <w:bookmarkEnd w:id="402"/>
      <w:bookmarkEnd w:id="403"/>
      <w:bookmarkEnd w:id="404"/>
      <w:bookmarkEnd w:id="405"/>
    </w:p>
    <w:p>
      <w:pPr>
        <w:ind w:firstLine="560"/>
        <w:rPr>
          <w:rFonts w:ascii="宋体" w:hAnsi="宋体"/>
          <w:szCs w:val="28"/>
        </w:rPr>
      </w:pPr>
      <w:r>
        <w:rPr>
          <w:rFonts w:ascii="Times New Roman" w:hAnsi="Times New Roman"/>
          <w:szCs w:val="28"/>
        </w:rPr>
        <w:t>完善全域旅游规划，推进跨境旅游实验区建设和黑瞎子岛5A级旅游景区创建。加强对旅游品牌的开发保护和旅游资源的发掘，实施旅</w:t>
      </w:r>
      <w:r>
        <w:rPr>
          <w:rFonts w:ascii="宋体" w:hAnsi="宋体"/>
          <w:szCs w:val="28"/>
        </w:rPr>
        <w:t>游“</w:t>
      </w:r>
      <w:r>
        <w:rPr>
          <w:rFonts w:ascii="Times New Roman" w:hAnsi="Times New Roman" w:cs="Times New Roman"/>
          <w:szCs w:val="28"/>
        </w:rPr>
        <w:t>3467</w:t>
      </w:r>
      <w:r>
        <w:rPr>
          <w:rFonts w:ascii="宋体" w:hAnsi="宋体"/>
          <w:szCs w:val="28"/>
        </w:rPr>
        <w:t>”提升工程，实施好自驾游营地、黑瞎子岛冰上汽车运动中心、铁人三项基地项目，根</w:t>
      </w:r>
      <w:r>
        <w:rPr>
          <w:rFonts w:ascii="Times New Roman" w:hAnsi="Times New Roman"/>
          <w:szCs w:val="28"/>
        </w:rPr>
        <w:t>据四季特色开展开江节、放流节、丰收节、蔓越莓节等系列优质品牌活动，全力打造跨境游、界江游、环岛游、民俗游、特色农业观光游和国外商品购物游等精品线路，推进赫哲族村等7处民宿项目建设。利用各种新媒体抓好线上线下营销，进一步提升抚</w:t>
      </w:r>
      <w:r>
        <w:rPr>
          <w:rFonts w:ascii="宋体" w:hAnsi="宋体"/>
          <w:szCs w:val="28"/>
        </w:rPr>
        <w:t>远“华夏东极”</w:t>
      </w:r>
      <w:r>
        <w:rPr>
          <w:rFonts w:hint="eastAsia" w:ascii="宋体" w:hAnsi="宋体"/>
          <w:szCs w:val="28"/>
        </w:rPr>
        <w:t>、</w:t>
      </w:r>
      <w:r>
        <w:rPr>
          <w:rFonts w:ascii="宋体" w:hAnsi="宋体"/>
          <w:szCs w:val="28"/>
        </w:rPr>
        <w:t>“两国一岛”</w:t>
      </w:r>
      <w:r>
        <w:rPr>
          <w:rFonts w:hint="eastAsia" w:ascii="宋体" w:hAnsi="宋体"/>
          <w:szCs w:val="28"/>
        </w:rPr>
        <w:t>、</w:t>
      </w:r>
      <w:r>
        <w:rPr>
          <w:rFonts w:ascii="宋体" w:hAnsi="宋体"/>
          <w:szCs w:val="28"/>
        </w:rPr>
        <w:t>“两江双城”</w:t>
      </w:r>
      <w:r>
        <w:rPr>
          <w:rFonts w:hint="eastAsia" w:ascii="宋体" w:hAnsi="宋体"/>
          <w:szCs w:val="28"/>
        </w:rPr>
        <w:t>、</w:t>
      </w:r>
      <w:r>
        <w:rPr>
          <w:rFonts w:ascii="宋体" w:hAnsi="宋体"/>
          <w:szCs w:val="28"/>
        </w:rPr>
        <w:t>“淡水鱼都”四张旅游名片市场影响力和品牌竞争力。</w:t>
      </w:r>
    </w:p>
    <w:p>
      <w:pPr>
        <w:keepNext/>
        <w:keepLines/>
        <w:ind w:firstLine="602"/>
        <w:jc w:val="left"/>
        <w:outlineLvl w:val="1"/>
        <w:rPr>
          <w:rFonts w:ascii="宋体" w:hAnsi="宋体" w:cs="黑体"/>
          <w:b/>
          <w:bCs/>
          <w:color w:val="000000"/>
          <w:sz w:val="30"/>
          <w:szCs w:val="32"/>
        </w:rPr>
      </w:pPr>
      <w:bookmarkStart w:id="406" w:name="_Toc77601388"/>
      <w:bookmarkStart w:id="407" w:name="_Toc77601206"/>
      <w:bookmarkStart w:id="408" w:name="_Toc74642452"/>
      <w:bookmarkStart w:id="409" w:name="_Toc77600864"/>
      <w:r>
        <w:rPr>
          <w:rFonts w:hint="eastAsia" w:ascii="宋体" w:hAnsi="宋体" w:cs="黑体"/>
          <w:b/>
          <w:bCs/>
          <w:color w:val="000000"/>
          <w:sz w:val="30"/>
          <w:szCs w:val="32"/>
        </w:rPr>
        <w:t>（4）突出规划引领，推进关键领域改革</w:t>
      </w:r>
      <w:bookmarkEnd w:id="406"/>
      <w:bookmarkEnd w:id="407"/>
      <w:bookmarkEnd w:id="408"/>
      <w:bookmarkEnd w:id="409"/>
    </w:p>
    <w:p>
      <w:pPr>
        <w:spacing w:line="240" w:lineRule="auto"/>
        <w:ind w:firstLine="560"/>
        <w:rPr>
          <w:rFonts w:ascii="Times New Roman" w:hAnsi="Times New Roman"/>
          <w:szCs w:val="28"/>
        </w:rPr>
      </w:pPr>
      <w:r>
        <w:rPr>
          <w:rFonts w:ascii="Times New Roman" w:hAnsi="Times New Roman"/>
          <w:szCs w:val="28"/>
        </w:rPr>
        <w:t>坚定改革信心，从有利于加快培育经济增长新动能、有利于激发各类市场主体活力、有利于增强人民群众获得感等方面入手，破解制约瓶颈，释放发展活力</w:t>
      </w:r>
      <w:r>
        <w:rPr>
          <w:rFonts w:hint="eastAsia" w:ascii="Times New Roman" w:hAnsi="Times New Roman"/>
          <w:szCs w:val="28"/>
        </w:rPr>
        <w:t>。</w:t>
      </w:r>
    </w:p>
    <w:p>
      <w:pPr>
        <w:pStyle w:val="5"/>
      </w:pPr>
      <w:bookmarkStart w:id="410" w:name="_Toc571269422_WPSOffice_Level3"/>
      <w:bookmarkStart w:id="411" w:name="_Toc77349645"/>
      <w:bookmarkStart w:id="412" w:name="_Toc77601389"/>
      <w:bookmarkStart w:id="413" w:name="_Toc8915"/>
      <w:bookmarkStart w:id="414" w:name="_Toc1930747174_WPSOffice_Level3"/>
      <w:bookmarkStart w:id="415" w:name="_Toc77601207"/>
      <w:bookmarkStart w:id="416" w:name="_Toc74642454"/>
      <w:r>
        <w:t>三、能源结构调整</w:t>
      </w:r>
      <w:bookmarkEnd w:id="410"/>
      <w:bookmarkEnd w:id="411"/>
      <w:bookmarkEnd w:id="412"/>
      <w:bookmarkEnd w:id="413"/>
      <w:bookmarkEnd w:id="414"/>
      <w:bookmarkEnd w:id="415"/>
    </w:p>
    <w:p>
      <w:pPr>
        <w:keepNext/>
        <w:keepLines/>
        <w:ind w:firstLine="602"/>
        <w:jc w:val="left"/>
        <w:outlineLvl w:val="1"/>
        <w:rPr>
          <w:rFonts w:ascii="宋体" w:hAnsi="宋体" w:cs="黑体"/>
          <w:b/>
          <w:bCs/>
          <w:color w:val="000000"/>
          <w:sz w:val="30"/>
          <w:szCs w:val="32"/>
        </w:rPr>
      </w:pPr>
      <w:bookmarkStart w:id="417" w:name="_Toc77601390"/>
      <w:bookmarkStart w:id="418" w:name="_Toc77601208"/>
      <w:bookmarkStart w:id="419" w:name="_Toc77600865"/>
      <w:r>
        <w:rPr>
          <w:rFonts w:hint="eastAsia" w:ascii="宋体" w:hAnsi="宋体" w:cs="黑体"/>
          <w:b/>
          <w:bCs/>
          <w:color w:val="000000"/>
          <w:sz w:val="30"/>
          <w:szCs w:val="32"/>
        </w:rPr>
        <w:t>（1）加强组织领导</w:t>
      </w:r>
      <w:bookmarkEnd w:id="416"/>
      <w:bookmarkEnd w:id="417"/>
      <w:bookmarkEnd w:id="418"/>
      <w:bookmarkEnd w:id="419"/>
    </w:p>
    <w:p>
      <w:pPr>
        <w:ind w:firstLine="560"/>
        <w:rPr>
          <w:rFonts w:ascii="Times New Roman" w:hAnsi="Times New Roman"/>
          <w:szCs w:val="28"/>
        </w:rPr>
      </w:pPr>
      <w:r>
        <w:rPr>
          <w:rFonts w:ascii="Times New Roman" w:hAnsi="Times New Roman"/>
          <w:szCs w:val="28"/>
        </w:rPr>
        <w:t>成立能源结构优化调整工作领导小组，加强统筹协调，加强对重大事项决策领导、组织推进和监督考核。市发改委作为能源综合管理部门及领导小组办公室，具体承担日常工作。各职能部门要根据责任分工、目标任务和推进计划，加强协同配合，尽快制定具体实施计划和工作措施。各乡镇也要建立相应的组织机构，加强指导协调。要建立健全目标责任制，全面落实工作责任，一级抓一级，层层抓落实。</w:t>
      </w:r>
    </w:p>
    <w:p>
      <w:pPr>
        <w:keepNext/>
        <w:keepLines/>
        <w:ind w:firstLine="602"/>
        <w:jc w:val="left"/>
        <w:outlineLvl w:val="1"/>
        <w:rPr>
          <w:rFonts w:ascii="宋体" w:hAnsi="宋体" w:cs="黑体"/>
          <w:b/>
          <w:bCs/>
          <w:color w:val="000000"/>
          <w:sz w:val="30"/>
          <w:szCs w:val="32"/>
        </w:rPr>
      </w:pPr>
      <w:bookmarkStart w:id="420" w:name="_Toc77600866"/>
      <w:bookmarkStart w:id="421" w:name="_Toc77601391"/>
      <w:bookmarkStart w:id="422" w:name="_Toc77601209"/>
      <w:bookmarkStart w:id="423" w:name="_Toc74642455"/>
      <w:r>
        <w:rPr>
          <w:rFonts w:hint="eastAsia" w:ascii="宋体" w:hAnsi="宋体" w:cs="黑体"/>
          <w:b/>
          <w:bCs/>
          <w:color w:val="000000"/>
          <w:sz w:val="30"/>
          <w:szCs w:val="32"/>
        </w:rPr>
        <w:t>（2）加强政策落实</w:t>
      </w:r>
      <w:bookmarkEnd w:id="420"/>
      <w:bookmarkEnd w:id="421"/>
      <w:bookmarkEnd w:id="422"/>
      <w:bookmarkEnd w:id="423"/>
    </w:p>
    <w:p>
      <w:pPr>
        <w:ind w:firstLine="560"/>
        <w:rPr>
          <w:rFonts w:ascii="Times New Roman" w:hAnsi="Times New Roman"/>
          <w:szCs w:val="28"/>
        </w:rPr>
      </w:pPr>
      <w:r>
        <w:rPr>
          <w:rFonts w:ascii="Times New Roman" w:hAnsi="Times New Roman"/>
          <w:szCs w:val="28"/>
        </w:rPr>
        <w:t>贯彻落实国家和省有关节能减排、能源资源价格改革、清洁能源利用、新能源和可再生能源推广等各项政策措施，积极争取国家和省各类财政补助资金和税收优惠政策。加快产业结构提升，大力发展高新技术产业和现代服务业，更大力度加快培育战略性新兴产业，为能源结构优化调整创造有利条件。综合运用环保、能耗、价格等行政执法组合拳，发挥政策激励和约束机制。充分利用各级环境治理、科技发展和产业发展导向等专项资金的引导作用，重点支持节能技术改造、淘汰落后产能、可再生能源开发、能源科技进步与创新等工作。推动建立政府引导、企业为主、金融机构贷款和社会资金积极参与的能源结构优化调整的投入机制。</w:t>
      </w:r>
    </w:p>
    <w:p>
      <w:pPr>
        <w:keepNext/>
        <w:keepLines/>
        <w:ind w:firstLine="602"/>
        <w:jc w:val="left"/>
        <w:outlineLvl w:val="1"/>
        <w:rPr>
          <w:rFonts w:ascii="宋体" w:hAnsi="宋体" w:cs="黑体"/>
          <w:b/>
          <w:bCs/>
          <w:color w:val="000000"/>
          <w:sz w:val="30"/>
          <w:szCs w:val="32"/>
        </w:rPr>
      </w:pPr>
      <w:bookmarkStart w:id="424" w:name="_Toc77601210"/>
      <w:bookmarkStart w:id="425" w:name="_Toc77600867"/>
      <w:bookmarkStart w:id="426" w:name="_Toc77601392"/>
      <w:bookmarkStart w:id="427" w:name="_Toc74642456"/>
      <w:r>
        <w:rPr>
          <w:rFonts w:hint="eastAsia" w:ascii="宋体" w:hAnsi="宋体" w:cs="黑体"/>
          <w:b/>
          <w:bCs/>
          <w:color w:val="000000"/>
          <w:sz w:val="30"/>
          <w:szCs w:val="32"/>
        </w:rPr>
        <w:t>（3）加强项目管理</w:t>
      </w:r>
      <w:bookmarkEnd w:id="424"/>
      <w:bookmarkEnd w:id="425"/>
      <w:bookmarkEnd w:id="426"/>
      <w:bookmarkEnd w:id="427"/>
    </w:p>
    <w:p>
      <w:pPr>
        <w:ind w:firstLine="560"/>
        <w:rPr>
          <w:rFonts w:ascii="Times New Roman" w:hAnsi="Times New Roman"/>
          <w:szCs w:val="28"/>
        </w:rPr>
      </w:pPr>
      <w:r>
        <w:rPr>
          <w:rFonts w:ascii="Times New Roman" w:hAnsi="Times New Roman"/>
          <w:szCs w:val="28"/>
        </w:rPr>
        <w:t>对能源结构优化调整重点建设项目，各有关部门在项目审核、土地使用、资金信贷等方面予以优先支持，加大对配套电力、热力、燃气工程的支持力度，统筹协调电力、热力、燃气等管线规划建设工作，并加强指导服务。切实加强项目节能评估审查，严把建筑节能标准和可再生能源应用关，不符合能源政策规定的项目，不得办理相关许可手续。</w:t>
      </w:r>
    </w:p>
    <w:p>
      <w:pPr>
        <w:keepNext/>
        <w:keepLines/>
        <w:ind w:firstLine="602"/>
        <w:jc w:val="left"/>
        <w:outlineLvl w:val="1"/>
        <w:rPr>
          <w:rFonts w:ascii="宋体" w:hAnsi="宋体" w:cs="黑体"/>
          <w:b/>
          <w:bCs/>
          <w:color w:val="000000"/>
          <w:sz w:val="30"/>
          <w:szCs w:val="32"/>
        </w:rPr>
      </w:pPr>
      <w:bookmarkStart w:id="428" w:name="_Toc74642457"/>
      <w:bookmarkStart w:id="429" w:name="_Toc77601211"/>
      <w:bookmarkStart w:id="430" w:name="_Toc77601393"/>
      <w:bookmarkStart w:id="431" w:name="_Toc77600868"/>
      <w:r>
        <w:rPr>
          <w:rFonts w:hint="eastAsia" w:ascii="宋体" w:hAnsi="宋体" w:cs="黑体"/>
          <w:b/>
          <w:bCs/>
          <w:color w:val="000000"/>
          <w:sz w:val="30"/>
          <w:szCs w:val="32"/>
        </w:rPr>
        <w:t>（4）加强监督检查</w:t>
      </w:r>
      <w:bookmarkEnd w:id="428"/>
      <w:bookmarkEnd w:id="429"/>
      <w:bookmarkEnd w:id="430"/>
      <w:bookmarkEnd w:id="431"/>
    </w:p>
    <w:p>
      <w:pPr>
        <w:ind w:firstLine="560"/>
        <w:rPr>
          <w:rFonts w:ascii="Times New Roman" w:hAnsi="Times New Roman"/>
          <w:szCs w:val="28"/>
        </w:rPr>
      </w:pPr>
      <w:r>
        <w:rPr>
          <w:rFonts w:ascii="Times New Roman" w:hAnsi="Times New Roman"/>
          <w:szCs w:val="28"/>
        </w:rPr>
        <w:t>根据国家和省有关能源法律法规和政策文件，定期组织开展专项检查和监察行动，严肃查处能源领域各类违法违规行为。加强对重点耗能企业的日常监督检查，对违反节能环保法律法规的单位公开曝光，依法查处。</w:t>
      </w:r>
    </w:p>
    <w:p>
      <w:pPr>
        <w:keepNext/>
        <w:keepLines/>
        <w:ind w:firstLine="602"/>
        <w:jc w:val="left"/>
        <w:outlineLvl w:val="1"/>
        <w:rPr>
          <w:rFonts w:ascii="宋体" w:hAnsi="宋体" w:cs="黑体"/>
          <w:b/>
          <w:bCs/>
          <w:color w:val="000000"/>
          <w:sz w:val="30"/>
          <w:szCs w:val="32"/>
        </w:rPr>
      </w:pPr>
      <w:bookmarkStart w:id="432" w:name="_Toc77600869"/>
      <w:bookmarkStart w:id="433" w:name="_Toc77601212"/>
      <w:bookmarkStart w:id="434" w:name="_Toc74642458"/>
      <w:bookmarkStart w:id="435" w:name="_Toc77601394"/>
      <w:r>
        <w:rPr>
          <w:rFonts w:hint="eastAsia" w:ascii="宋体" w:hAnsi="宋体" w:cs="黑体"/>
          <w:b/>
          <w:bCs/>
          <w:color w:val="000000"/>
          <w:sz w:val="30"/>
          <w:szCs w:val="32"/>
        </w:rPr>
        <w:t>（5）加强舆论宣传</w:t>
      </w:r>
      <w:bookmarkEnd w:id="432"/>
      <w:bookmarkEnd w:id="433"/>
      <w:bookmarkEnd w:id="434"/>
      <w:bookmarkEnd w:id="435"/>
    </w:p>
    <w:p>
      <w:pPr>
        <w:ind w:firstLine="560"/>
        <w:rPr>
          <w:rFonts w:ascii="Times New Roman" w:hAnsi="Times New Roman"/>
          <w:szCs w:val="28"/>
        </w:rPr>
      </w:pPr>
      <w:r>
        <w:rPr>
          <w:rFonts w:ascii="Times New Roman" w:hAnsi="Times New Roman"/>
          <w:szCs w:val="28"/>
        </w:rPr>
        <w:t>积极宣传能源消费结构优化和节能减排的重要性和紧迫性，提高全社会的能源、气候和环境忧患意识和节能环保意识，普及能源结构优化调整知识，为加快推进能源优化结构调整营造良好舆论氛围</w:t>
      </w:r>
      <w:r>
        <w:rPr>
          <w:rFonts w:hint="eastAsia" w:ascii="Times New Roman" w:hAnsi="Times New Roman"/>
          <w:szCs w:val="28"/>
        </w:rPr>
        <w:t>。</w:t>
      </w:r>
    </w:p>
    <w:p>
      <w:pPr>
        <w:pStyle w:val="5"/>
      </w:pPr>
      <w:bookmarkStart w:id="436" w:name="_Toc77349646"/>
      <w:bookmarkStart w:id="437" w:name="_Toc77601213"/>
      <w:bookmarkStart w:id="438" w:name="_Toc77601395"/>
      <w:bookmarkStart w:id="439" w:name="_Toc1624"/>
      <w:bookmarkStart w:id="440" w:name="_Toc2073273464_WPSOffice_Level3"/>
      <w:bookmarkStart w:id="441" w:name="_Toc1589847248_WPSOffice_Level3"/>
      <w:bookmarkStart w:id="442" w:name="_Toc74642460"/>
      <w:r>
        <w:t>四、应对气候变化</w:t>
      </w:r>
      <w:bookmarkEnd w:id="436"/>
      <w:bookmarkEnd w:id="437"/>
      <w:bookmarkEnd w:id="438"/>
      <w:bookmarkEnd w:id="439"/>
      <w:bookmarkEnd w:id="440"/>
      <w:bookmarkEnd w:id="441"/>
    </w:p>
    <w:p>
      <w:pPr>
        <w:keepNext/>
        <w:keepLines/>
        <w:ind w:firstLine="602"/>
        <w:jc w:val="left"/>
        <w:outlineLvl w:val="1"/>
        <w:rPr>
          <w:rFonts w:ascii="宋体" w:hAnsi="宋体" w:cs="黑体"/>
          <w:b/>
          <w:bCs/>
          <w:color w:val="000000"/>
          <w:sz w:val="30"/>
          <w:szCs w:val="32"/>
        </w:rPr>
      </w:pPr>
      <w:bookmarkStart w:id="443" w:name="_Toc77601214"/>
      <w:bookmarkStart w:id="444" w:name="_Toc77600870"/>
      <w:bookmarkStart w:id="445" w:name="_Toc77601396"/>
      <w:r>
        <w:rPr>
          <w:rFonts w:hint="eastAsia" w:ascii="宋体" w:hAnsi="宋体" w:cs="黑体"/>
          <w:b/>
          <w:bCs/>
          <w:color w:val="000000"/>
          <w:sz w:val="30"/>
          <w:szCs w:val="32"/>
        </w:rPr>
        <w:t>（1）坚决打好蓝天保卫战</w:t>
      </w:r>
      <w:bookmarkEnd w:id="442"/>
      <w:bookmarkEnd w:id="443"/>
      <w:bookmarkEnd w:id="444"/>
      <w:bookmarkEnd w:id="445"/>
    </w:p>
    <w:p>
      <w:pPr>
        <w:ind w:firstLine="560"/>
        <w:rPr>
          <w:rFonts w:ascii="Times New Roman" w:hAnsi="Times New Roman"/>
          <w:szCs w:val="28"/>
        </w:rPr>
      </w:pPr>
      <w:r>
        <w:rPr>
          <w:rFonts w:hint="eastAsia" w:ascii="Times New Roman" w:hAnsi="Times New Roman"/>
          <w:szCs w:val="28"/>
        </w:rPr>
        <w:t>坚持全民共治、源头防治，持续实施大气污染防治行动，打赢蓝天保卫战。严格环境执法，依法查处大气污染物超标排放、偷排偷放等各类环境违法行为。不仅要减少二氧化碳排放，同时要保护和增强温室气体的汇和库，减排和增碳汇同时并举。要实行自然保护区强制性保护，积极开展植树造林和湿地生态恢复，逐步形成结构合理的山水林草生态环境，同时促进可持续农业方式。</w:t>
      </w:r>
    </w:p>
    <w:p>
      <w:pPr>
        <w:keepNext/>
        <w:keepLines/>
        <w:ind w:firstLine="602"/>
        <w:jc w:val="left"/>
        <w:outlineLvl w:val="1"/>
        <w:rPr>
          <w:rFonts w:ascii="宋体" w:hAnsi="宋体" w:cs="黑体"/>
          <w:b/>
          <w:bCs/>
          <w:color w:val="000000"/>
          <w:sz w:val="30"/>
          <w:szCs w:val="32"/>
        </w:rPr>
      </w:pPr>
      <w:bookmarkStart w:id="446" w:name="_Toc77601215"/>
      <w:bookmarkStart w:id="447" w:name="_Toc77600871"/>
      <w:bookmarkStart w:id="448" w:name="_Toc74642461"/>
      <w:bookmarkStart w:id="449" w:name="_Toc77601397"/>
      <w:r>
        <w:rPr>
          <w:rFonts w:hint="eastAsia" w:ascii="宋体" w:hAnsi="宋体" w:cs="黑体"/>
          <w:b/>
          <w:bCs/>
          <w:color w:val="000000"/>
          <w:sz w:val="30"/>
          <w:szCs w:val="32"/>
        </w:rPr>
        <w:t>（2）持续实施大气污染防治行动</w:t>
      </w:r>
      <w:bookmarkEnd w:id="446"/>
      <w:bookmarkEnd w:id="447"/>
      <w:bookmarkEnd w:id="448"/>
      <w:bookmarkEnd w:id="449"/>
    </w:p>
    <w:p>
      <w:pPr>
        <w:ind w:firstLine="560"/>
        <w:rPr>
          <w:rFonts w:ascii="Times New Roman" w:hAnsi="Times New Roman"/>
          <w:szCs w:val="28"/>
        </w:rPr>
      </w:pPr>
      <w:r>
        <w:rPr>
          <w:rFonts w:hint="eastAsia" w:ascii="Times New Roman" w:hAnsi="Times New Roman"/>
          <w:szCs w:val="28"/>
        </w:rPr>
        <w:t>大力调整优产业结构、能源结构、运输结构和用地结构，强化区域联防联控。推进建成燃煤锅炉改电、生物质等能源使用，对燃煤使用企业加强执法检查，严厉打击燃煤质量不符合标准的违法行为。</w:t>
      </w:r>
      <w:r>
        <w:rPr>
          <w:rFonts w:ascii="Times New Roman" w:hAnsi="Times New Roman"/>
          <w:szCs w:val="28"/>
        </w:rPr>
        <w:t>科学推进秸秆综合利用，进一步扩大秸秆收储压块站点建设、推动生物质热电联产厂建设。</w:t>
      </w:r>
      <w:r>
        <w:rPr>
          <w:rFonts w:hint="eastAsia" w:ascii="Times New Roman" w:hAnsi="Times New Roman"/>
          <w:szCs w:val="28"/>
        </w:rPr>
        <w:t>实行最严格的秸秆禁烧制度，实现全域零火点。按照全年全面全域禁烧和常态化管理的要求，落实秸秆禁烧各项政策和措施。执行“市、乡镇、村”三级联防联控的禁烧机制，压实三级网格化管理责任。推进秸秆综合利用，深化秸秆机械化粉碎全量还田，做好还田秸秆深耕、深翻工作。</w:t>
      </w:r>
    </w:p>
    <w:p>
      <w:pPr>
        <w:pStyle w:val="5"/>
      </w:pPr>
      <w:bookmarkStart w:id="450" w:name="_Toc10493"/>
      <w:bookmarkStart w:id="451" w:name="_Toc1571161162_WPSOffice_Level3"/>
      <w:bookmarkStart w:id="452" w:name="_Toc77349647"/>
      <w:bookmarkStart w:id="453" w:name="_Toc77601398"/>
      <w:bookmarkStart w:id="454" w:name="_Toc77601216"/>
      <w:bookmarkStart w:id="455" w:name="_Toc437453226_WPSOffice_Level3"/>
      <w:r>
        <w:t>五、行业清洁化生产</w:t>
      </w:r>
      <w:bookmarkEnd w:id="450"/>
      <w:bookmarkEnd w:id="451"/>
      <w:bookmarkEnd w:id="452"/>
      <w:bookmarkEnd w:id="453"/>
      <w:bookmarkEnd w:id="454"/>
      <w:bookmarkEnd w:id="455"/>
    </w:p>
    <w:p>
      <w:pPr>
        <w:ind w:firstLine="560"/>
        <w:rPr>
          <w:rFonts w:ascii="Times New Roman" w:hAnsi="Times New Roman"/>
          <w:szCs w:val="28"/>
        </w:rPr>
      </w:pPr>
      <w:r>
        <w:rPr>
          <w:rFonts w:ascii="Times New Roman" w:hAnsi="Times New Roman"/>
          <w:szCs w:val="28"/>
        </w:rPr>
        <w:t>全力践</w:t>
      </w:r>
      <w:r>
        <w:rPr>
          <w:rFonts w:ascii="宋体" w:hAnsi="宋体"/>
          <w:szCs w:val="28"/>
        </w:rPr>
        <w:t>行“绿水青山就是金山银山”</w:t>
      </w:r>
      <w:r>
        <w:rPr>
          <w:rFonts w:hint="eastAsia" w:ascii="宋体" w:hAnsi="宋体"/>
          <w:szCs w:val="28"/>
        </w:rPr>
        <w:t>、</w:t>
      </w:r>
      <w:r>
        <w:rPr>
          <w:rFonts w:ascii="宋体" w:hAnsi="宋体"/>
          <w:szCs w:val="28"/>
        </w:rPr>
        <w:t>“城市双修”发展理</w:t>
      </w:r>
      <w:r>
        <w:rPr>
          <w:rFonts w:ascii="Times New Roman" w:hAnsi="Times New Roman"/>
          <w:szCs w:val="28"/>
        </w:rPr>
        <w:t>念，实施秸秆禁烧常态化管理，科学推进秸秆综合利用，进一步扩大秸秆收储压块站点建设、推动生物质热电联产厂建设。坚持全民共治、源头防治，加大工地道路扬尘、工业粉尘、餐饮油烟等污染源管控力度。</w:t>
      </w:r>
    </w:p>
    <w:p>
      <w:pPr>
        <w:keepNext/>
        <w:keepLines/>
        <w:ind w:firstLine="602"/>
        <w:jc w:val="left"/>
        <w:outlineLvl w:val="1"/>
        <w:rPr>
          <w:rFonts w:ascii="宋体" w:hAnsi="宋体" w:cs="黑体"/>
          <w:b/>
          <w:bCs/>
          <w:color w:val="000000"/>
          <w:sz w:val="30"/>
          <w:szCs w:val="32"/>
        </w:rPr>
      </w:pPr>
      <w:bookmarkStart w:id="456" w:name="_Toc74642463"/>
      <w:bookmarkStart w:id="457" w:name="_Toc77600872"/>
      <w:bookmarkStart w:id="458" w:name="_Toc77601217"/>
      <w:bookmarkStart w:id="459" w:name="_Toc77601399"/>
      <w:r>
        <w:rPr>
          <w:rFonts w:hint="eastAsia" w:ascii="宋体" w:hAnsi="宋体" w:cs="黑体"/>
          <w:b/>
          <w:bCs/>
          <w:color w:val="000000"/>
          <w:sz w:val="30"/>
          <w:szCs w:val="32"/>
        </w:rPr>
        <w:t>（1）组织集中培训，强化宣传力度</w:t>
      </w:r>
      <w:bookmarkEnd w:id="456"/>
      <w:bookmarkEnd w:id="457"/>
      <w:bookmarkEnd w:id="458"/>
      <w:bookmarkEnd w:id="459"/>
    </w:p>
    <w:p>
      <w:pPr>
        <w:ind w:firstLine="560"/>
        <w:rPr>
          <w:rFonts w:ascii="Times New Roman" w:hAnsi="Times New Roman"/>
          <w:szCs w:val="28"/>
        </w:rPr>
      </w:pPr>
      <w:r>
        <w:rPr>
          <w:rFonts w:hint="eastAsia" w:ascii="Times New Roman" w:hAnsi="Times New Roman"/>
          <w:szCs w:val="28"/>
        </w:rPr>
        <w:t>抚远</w:t>
      </w:r>
      <w:r>
        <w:rPr>
          <w:rFonts w:ascii="Times New Roman" w:hAnsi="Times New Roman"/>
          <w:szCs w:val="28"/>
        </w:rPr>
        <w:t>市局组织国控重点污染源企业参加《中华人民共和国清洁生产促进法》等法律法规的培训学习，提高企业开展清洁生产审核的主动性，让企业把清洁生产审</w:t>
      </w:r>
      <w:r>
        <w:rPr>
          <w:rFonts w:ascii="宋体" w:hAnsi="宋体"/>
          <w:szCs w:val="28"/>
        </w:rPr>
        <w:t>核“节能、降耗、减污、增效”的理念</w:t>
      </w:r>
      <w:r>
        <w:rPr>
          <w:rFonts w:ascii="Times New Roman" w:hAnsi="Times New Roman"/>
          <w:szCs w:val="28"/>
        </w:rPr>
        <w:t>贯彻到实际生产和工作中。</w:t>
      </w:r>
    </w:p>
    <w:p>
      <w:pPr>
        <w:keepNext/>
        <w:keepLines/>
        <w:ind w:firstLine="602"/>
        <w:jc w:val="left"/>
        <w:outlineLvl w:val="1"/>
        <w:rPr>
          <w:rFonts w:ascii="宋体" w:hAnsi="宋体" w:cs="黑体"/>
          <w:b/>
          <w:bCs/>
          <w:color w:val="000000"/>
          <w:sz w:val="30"/>
          <w:szCs w:val="32"/>
        </w:rPr>
      </w:pPr>
      <w:bookmarkStart w:id="460" w:name="_Toc77601218"/>
      <w:bookmarkStart w:id="461" w:name="_Toc74642464"/>
      <w:bookmarkStart w:id="462" w:name="_Toc77600873"/>
      <w:bookmarkStart w:id="463" w:name="_Toc77601400"/>
      <w:r>
        <w:rPr>
          <w:rFonts w:hint="eastAsia" w:ascii="宋体" w:hAnsi="宋体" w:cs="黑体"/>
          <w:b/>
          <w:bCs/>
          <w:color w:val="000000"/>
          <w:sz w:val="30"/>
          <w:szCs w:val="32"/>
        </w:rPr>
        <w:t>（2）加强调度，以监督促清洁生产审核工作</w:t>
      </w:r>
      <w:bookmarkEnd w:id="460"/>
      <w:bookmarkEnd w:id="461"/>
      <w:bookmarkEnd w:id="462"/>
      <w:bookmarkEnd w:id="463"/>
    </w:p>
    <w:p>
      <w:pPr>
        <w:ind w:firstLine="560"/>
        <w:rPr>
          <w:rFonts w:ascii="Times New Roman" w:hAnsi="Times New Roman"/>
          <w:szCs w:val="28"/>
        </w:rPr>
      </w:pPr>
      <w:r>
        <w:rPr>
          <w:rFonts w:hint="eastAsia" w:ascii="Times New Roman" w:hAnsi="Times New Roman"/>
          <w:szCs w:val="28"/>
        </w:rPr>
        <w:t>抚远</w:t>
      </w:r>
      <w:r>
        <w:rPr>
          <w:rFonts w:ascii="Times New Roman" w:hAnsi="Times New Roman"/>
          <w:szCs w:val="28"/>
        </w:rPr>
        <w:t>市局主要领导多次到企业进行帮扶，把清洁生产和环保工作相结合，不断提升企业环保意识，促进企业主动开展清洁生产，提升企业污染防治水平，推动企业实现节能减排目标。在日常执法监督过程中，严格按照《清洁生产审核办法》进行监管管理，确保企业按时完成工作要求。</w:t>
      </w:r>
    </w:p>
    <w:p>
      <w:pPr>
        <w:keepNext/>
        <w:keepLines/>
        <w:ind w:firstLine="602"/>
        <w:jc w:val="left"/>
        <w:outlineLvl w:val="1"/>
        <w:rPr>
          <w:rFonts w:ascii="宋体" w:hAnsi="宋体" w:cs="黑体"/>
          <w:b/>
          <w:bCs/>
          <w:color w:val="000000"/>
          <w:sz w:val="30"/>
          <w:szCs w:val="32"/>
        </w:rPr>
      </w:pPr>
      <w:bookmarkStart w:id="464" w:name="_Toc77601219"/>
      <w:bookmarkStart w:id="465" w:name="_Toc77601401"/>
      <w:bookmarkStart w:id="466" w:name="_Toc74642465"/>
      <w:bookmarkStart w:id="467" w:name="_Toc77600874"/>
      <w:r>
        <w:rPr>
          <w:rFonts w:hint="eastAsia" w:ascii="宋体" w:hAnsi="宋体" w:cs="黑体"/>
          <w:b/>
          <w:bCs/>
          <w:color w:val="000000"/>
          <w:sz w:val="30"/>
          <w:szCs w:val="32"/>
        </w:rPr>
        <w:t>（3）增强服务意识，加快推进清洁生产指导服务工作</w:t>
      </w:r>
      <w:bookmarkEnd w:id="464"/>
      <w:bookmarkEnd w:id="465"/>
      <w:bookmarkEnd w:id="466"/>
      <w:bookmarkEnd w:id="467"/>
    </w:p>
    <w:p>
      <w:pPr>
        <w:spacing w:line="240" w:lineRule="auto"/>
        <w:ind w:firstLine="560"/>
        <w:rPr>
          <w:rFonts w:ascii="Times New Roman" w:hAnsi="Times New Roman"/>
          <w:szCs w:val="28"/>
        </w:rPr>
      </w:pPr>
      <w:r>
        <w:rPr>
          <w:rFonts w:hint="eastAsia" w:ascii="Times New Roman" w:hAnsi="Times New Roman"/>
          <w:szCs w:val="28"/>
        </w:rPr>
        <w:t>抚远</w:t>
      </w:r>
      <w:r>
        <w:rPr>
          <w:rFonts w:ascii="Times New Roman" w:hAnsi="Times New Roman"/>
          <w:szCs w:val="28"/>
        </w:rPr>
        <w:t>市局安排专人到企业开展现场指导服务，加强清洁生产政策、法规的业务指导，及时掌握企业情况，督导企业加快推进清洁生产工作进度。帮助企业解决疑难问题，引导企业清洁生产审核按时、高效展开</w:t>
      </w:r>
      <w:r>
        <w:rPr>
          <w:rFonts w:hint="eastAsia" w:ascii="Times New Roman" w:hAnsi="Times New Roman"/>
          <w:szCs w:val="28"/>
        </w:rPr>
        <w:t>。</w:t>
      </w:r>
    </w:p>
    <w:p>
      <w:pPr>
        <w:pStyle w:val="5"/>
      </w:pPr>
      <w:bookmarkStart w:id="468" w:name="_Toc77349648"/>
      <w:bookmarkStart w:id="469" w:name="_Toc1046726222_WPSOffice_Level3"/>
      <w:bookmarkStart w:id="470" w:name="_Toc77601402"/>
      <w:bookmarkStart w:id="471" w:name="_Toc24027"/>
      <w:bookmarkStart w:id="472" w:name="_Toc1439845701_WPSOffice_Level3"/>
      <w:bookmarkStart w:id="473" w:name="_Toc77601220"/>
      <w:bookmarkStart w:id="474" w:name="_Toc74642467"/>
      <w:r>
        <w:t>六、园区循环化改造</w:t>
      </w:r>
      <w:bookmarkEnd w:id="468"/>
      <w:bookmarkEnd w:id="469"/>
      <w:bookmarkEnd w:id="470"/>
      <w:bookmarkEnd w:id="471"/>
      <w:bookmarkEnd w:id="472"/>
      <w:bookmarkEnd w:id="473"/>
    </w:p>
    <w:p>
      <w:pPr>
        <w:keepNext/>
        <w:keepLines/>
        <w:ind w:firstLine="602"/>
        <w:jc w:val="left"/>
        <w:outlineLvl w:val="1"/>
        <w:rPr>
          <w:rFonts w:ascii="宋体" w:hAnsi="宋体" w:cs="黑体"/>
          <w:b/>
          <w:bCs/>
          <w:color w:val="000000"/>
          <w:sz w:val="30"/>
          <w:szCs w:val="32"/>
        </w:rPr>
      </w:pPr>
      <w:bookmarkStart w:id="475" w:name="_Toc77600875"/>
      <w:bookmarkStart w:id="476" w:name="_Toc77601403"/>
      <w:bookmarkStart w:id="477" w:name="_Toc77601221"/>
      <w:r>
        <w:rPr>
          <w:rFonts w:hint="eastAsia" w:ascii="宋体" w:hAnsi="宋体" w:cs="黑体"/>
          <w:b/>
          <w:bCs/>
          <w:color w:val="000000"/>
          <w:sz w:val="30"/>
          <w:szCs w:val="32"/>
        </w:rPr>
        <w:t>（1）加强组织领导，营造推动科技创新的社会环境</w:t>
      </w:r>
      <w:bookmarkEnd w:id="474"/>
      <w:bookmarkEnd w:id="475"/>
      <w:bookmarkEnd w:id="476"/>
      <w:bookmarkEnd w:id="477"/>
    </w:p>
    <w:p>
      <w:pPr>
        <w:ind w:firstLine="560"/>
        <w:rPr>
          <w:rFonts w:ascii="Times New Roman" w:hAnsi="Times New Roman"/>
          <w:szCs w:val="28"/>
        </w:rPr>
      </w:pPr>
      <w:r>
        <w:rPr>
          <w:rFonts w:ascii="Times New Roman" w:hAnsi="Times New Roman"/>
          <w:szCs w:val="28"/>
        </w:rPr>
        <w:t>强化科技工作领导，坚持把科技创新工作摆在优先发展的战略地位，完善领导干部科技工作目标责任制，建立科技工作联席会议制度，定期召开会议，研究解决科技创新工作中的重大问题。组织动员全市科技力量认真履行职能，加强对科技创新工作的宏观调控和督促检查，切实承担起重大科技计划争取、技术引进转化、科技合作交流、知识产权管理等重要职责，指导协调各级各部门科技工作，整合利用、充分发挥各级各类科技资源效益。</w:t>
      </w:r>
    </w:p>
    <w:p>
      <w:pPr>
        <w:keepNext/>
        <w:keepLines/>
        <w:ind w:firstLine="602"/>
        <w:jc w:val="left"/>
        <w:outlineLvl w:val="1"/>
        <w:rPr>
          <w:rFonts w:ascii="宋体" w:hAnsi="宋体" w:cs="黑体"/>
          <w:b/>
          <w:bCs/>
          <w:color w:val="000000"/>
          <w:sz w:val="30"/>
          <w:szCs w:val="32"/>
        </w:rPr>
      </w:pPr>
      <w:bookmarkStart w:id="478" w:name="_Toc77600876"/>
      <w:bookmarkStart w:id="479" w:name="_Toc77601404"/>
      <w:bookmarkStart w:id="480" w:name="_Toc74642468"/>
      <w:bookmarkStart w:id="481" w:name="_Toc77601222"/>
      <w:r>
        <w:rPr>
          <w:rFonts w:hint="eastAsia" w:ascii="宋体" w:hAnsi="宋体" w:cs="黑体"/>
          <w:b/>
          <w:bCs/>
          <w:color w:val="000000"/>
          <w:sz w:val="30"/>
          <w:szCs w:val="32"/>
        </w:rPr>
        <w:t>（2）建立完善政策法制环境</w:t>
      </w:r>
      <w:bookmarkEnd w:id="478"/>
      <w:bookmarkEnd w:id="479"/>
      <w:bookmarkEnd w:id="480"/>
      <w:bookmarkEnd w:id="481"/>
    </w:p>
    <w:p>
      <w:pPr>
        <w:ind w:firstLine="560"/>
        <w:rPr>
          <w:rFonts w:ascii="Times New Roman" w:hAnsi="Times New Roman"/>
          <w:szCs w:val="28"/>
        </w:rPr>
      </w:pPr>
      <w:r>
        <w:rPr>
          <w:rFonts w:ascii="Times New Roman" w:hAnsi="Times New Roman"/>
          <w:szCs w:val="28"/>
        </w:rPr>
        <w:t>牢固树立与时俱进、改革创新的思想观念，切实解决影响科技创新的体制、机制性障碍，不断优化政策环境，营造推动创新的社会氛围。深入贯彻《科学技术进步法》、《科学技术普及法》、《专利法》等科技法律法规，依法促进科技进步，保护知识产权。</w:t>
      </w:r>
    </w:p>
    <w:p>
      <w:pPr>
        <w:keepNext/>
        <w:keepLines/>
        <w:ind w:firstLine="602"/>
        <w:jc w:val="left"/>
        <w:outlineLvl w:val="1"/>
        <w:rPr>
          <w:rFonts w:ascii="宋体" w:hAnsi="宋体" w:cs="黑体"/>
          <w:b/>
          <w:bCs/>
          <w:color w:val="000000"/>
          <w:sz w:val="30"/>
          <w:szCs w:val="32"/>
        </w:rPr>
      </w:pPr>
      <w:bookmarkStart w:id="482" w:name="_Toc77601223"/>
      <w:bookmarkStart w:id="483" w:name="_Toc74642469"/>
      <w:bookmarkStart w:id="484" w:name="_Toc77601405"/>
      <w:bookmarkStart w:id="485" w:name="_Toc77600877"/>
      <w:r>
        <w:rPr>
          <w:rFonts w:hint="eastAsia" w:ascii="宋体" w:hAnsi="宋体" w:cs="黑体"/>
          <w:b/>
          <w:bCs/>
          <w:color w:val="000000"/>
          <w:sz w:val="30"/>
          <w:szCs w:val="32"/>
        </w:rPr>
        <w:t>（3）深化科技体制改革，加强对外科技合作</w:t>
      </w:r>
      <w:bookmarkEnd w:id="482"/>
      <w:bookmarkEnd w:id="483"/>
      <w:bookmarkEnd w:id="484"/>
      <w:bookmarkEnd w:id="485"/>
    </w:p>
    <w:p>
      <w:pPr>
        <w:ind w:firstLine="560"/>
        <w:rPr>
          <w:rFonts w:ascii="Times New Roman" w:hAnsi="Times New Roman"/>
          <w:szCs w:val="28"/>
        </w:rPr>
      </w:pPr>
      <w:r>
        <w:rPr>
          <w:rFonts w:ascii="宋体" w:hAnsi="宋体"/>
          <w:szCs w:val="28"/>
        </w:rPr>
        <w:t>按照“企业主体、产业布局、工程模式、集成推进”的总体思路，加大科技改革力度，优化科技资源配置，努力推进科技成</w:t>
      </w:r>
      <w:r>
        <w:rPr>
          <w:rFonts w:ascii="Times New Roman" w:hAnsi="Times New Roman"/>
          <w:szCs w:val="28"/>
        </w:rPr>
        <w:t>果产业化。加强国际国内科技合作，大力实施引进创新战略，着力引进发达地区的项目、资金与技术，不断推动抚远科技持续发展。</w:t>
      </w:r>
    </w:p>
    <w:p>
      <w:pPr>
        <w:keepNext/>
        <w:keepLines/>
        <w:ind w:firstLine="602"/>
        <w:jc w:val="left"/>
        <w:outlineLvl w:val="1"/>
        <w:rPr>
          <w:rFonts w:ascii="宋体" w:hAnsi="宋体" w:cs="黑体"/>
          <w:b/>
          <w:bCs/>
          <w:color w:val="000000"/>
          <w:sz w:val="30"/>
          <w:szCs w:val="32"/>
        </w:rPr>
      </w:pPr>
      <w:bookmarkStart w:id="486" w:name="_Toc77601406"/>
      <w:bookmarkStart w:id="487" w:name="_Toc77601224"/>
      <w:bookmarkStart w:id="488" w:name="_Toc77600878"/>
      <w:bookmarkStart w:id="489" w:name="_Toc74642470"/>
      <w:r>
        <w:rPr>
          <w:rFonts w:hint="eastAsia" w:ascii="宋体" w:hAnsi="宋体" w:cs="黑体"/>
          <w:b/>
          <w:bCs/>
          <w:color w:val="000000"/>
          <w:sz w:val="30"/>
          <w:szCs w:val="32"/>
        </w:rPr>
        <w:t>（4）加强知识产权保护，加强创新文化建设</w:t>
      </w:r>
      <w:bookmarkEnd w:id="486"/>
      <w:bookmarkEnd w:id="487"/>
      <w:bookmarkEnd w:id="488"/>
      <w:bookmarkEnd w:id="489"/>
    </w:p>
    <w:p>
      <w:pPr>
        <w:ind w:firstLine="560"/>
        <w:rPr>
          <w:rFonts w:ascii="Times New Roman" w:hAnsi="Times New Roman"/>
          <w:szCs w:val="28"/>
        </w:rPr>
      </w:pPr>
      <w:r>
        <w:rPr>
          <w:rFonts w:ascii="Times New Roman" w:hAnsi="Times New Roman"/>
          <w:szCs w:val="28"/>
        </w:rPr>
        <w:t>在全社会大力宣传科技思想及其战略意义，围绕抚远特色优势，大力开发和转化专利技术，发展自主知识产权产业，大力实施名特优品牌战略，培育自主知名品牌。鼓励研发人员申报专利，防止知识产权流失，切实保护各利益主体的正当权益。积极发展知识产权代表机构，支持知识产权中介服务建设，为企业提供优质高效的知识产权服务，推动企业快速发展。</w:t>
      </w:r>
    </w:p>
    <w:p>
      <w:pPr>
        <w:keepNext/>
        <w:keepLines/>
        <w:ind w:firstLine="602"/>
        <w:jc w:val="left"/>
        <w:outlineLvl w:val="1"/>
        <w:rPr>
          <w:rFonts w:ascii="宋体" w:hAnsi="宋体" w:cs="黑体"/>
          <w:b/>
          <w:bCs/>
          <w:color w:val="000000"/>
          <w:sz w:val="30"/>
          <w:szCs w:val="32"/>
        </w:rPr>
      </w:pPr>
      <w:bookmarkStart w:id="490" w:name="_Toc77601407"/>
      <w:bookmarkStart w:id="491" w:name="_Toc74642471"/>
      <w:bookmarkStart w:id="492" w:name="_Toc77600879"/>
      <w:bookmarkStart w:id="493" w:name="_Toc77601225"/>
      <w:r>
        <w:rPr>
          <w:rFonts w:hint="eastAsia" w:ascii="宋体" w:hAnsi="宋体" w:cs="黑体"/>
          <w:b/>
          <w:bCs/>
          <w:color w:val="000000"/>
          <w:sz w:val="30"/>
          <w:szCs w:val="32"/>
        </w:rPr>
        <w:t>（5）加快莽吉塔港园经济区建设</w:t>
      </w:r>
      <w:bookmarkEnd w:id="490"/>
      <w:bookmarkEnd w:id="491"/>
      <w:bookmarkEnd w:id="492"/>
      <w:bookmarkEnd w:id="493"/>
    </w:p>
    <w:p>
      <w:pPr>
        <w:ind w:firstLine="560"/>
        <w:rPr>
          <w:rFonts w:ascii="Times New Roman" w:hAnsi="Times New Roman"/>
          <w:szCs w:val="28"/>
        </w:rPr>
      </w:pPr>
      <w:r>
        <w:rPr>
          <w:rFonts w:ascii="Times New Roman" w:hAnsi="Times New Roman"/>
          <w:szCs w:val="28"/>
        </w:rPr>
        <w:t>充分发挥抚</w:t>
      </w:r>
      <w:r>
        <w:rPr>
          <w:rFonts w:ascii="宋体" w:hAnsi="宋体"/>
          <w:szCs w:val="28"/>
        </w:rPr>
        <w:t>远</w:t>
      </w:r>
      <w:r>
        <w:rPr>
          <w:rFonts w:hint="eastAsia" w:ascii="宋体" w:hAnsi="宋体"/>
          <w:szCs w:val="28"/>
        </w:rPr>
        <w:t>市</w:t>
      </w:r>
      <w:r>
        <w:rPr>
          <w:rFonts w:ascii="宋体" w:hAnsi="宋体"/>
          <w:szCs w:val="28"/>
        </w:rPr>
        <w:t>的地缘、资源、交通优势，积极利用国内和俄罗斯两种资源、两个市场，形成区、港、路“一体化”产业发展格局。支持港湾集团、金良集团、黑航集团发展跨境农业，推进金良跨境农业产业园、远大木材加工园项目建设。加快杂粮、乳品、饲料等专门口岸申报工作，完善冰鲜水产品保鲜库建设。加快保税监管中心报审进度，</w:t>
      </w:r>
      <w:r>
        <w:rPr>
          <w:rFonts w:ascii="Times New Roman" w:hAnsi="Times New Roman"/>
          <w:szCs w:val="28"/>
        </w:rPr>
        <w:t>力争投入运行。超前谋划铁路电汽化改造前期工作</w:t>
      </w:r>
      <w:r>
        <w:rPr>
          <w:rFonts w:hint="eastAsia" w:ascii="Times New Roman" w:hAnsi="Times New Roman"/>
          <w:szCs w:val="28"/>
        </w:rPr>
        <w:t>。</w:t>
      </w:r>
    </w:p>
    <w:p>
      <w:pPr>
        <w:pStyle w:val="4"/>
      </w:pPr>
      <w:bookmarkStart w:id="494" w:name="_Toc77600880"/>
      <w:bookmarkStart w:id="495" w:name="_Toc77601226"/>
      <w:bookmarkStart w:id="496" w:name="_Toc77601408"/>
      <w:bookmarkStart w:id="497" w:name="_Toc77349649"/>
      <w:r>
        <w:t>第</w:t>
      </w:r>
      <w:r>
        <w:rPr>
          <w:rFonts w:hint="eastAsia"/>
        </w:rPr>
        <w:t>三</w:t>
      </w:r>
      <w:r>
        <w:t>节</w:t>
      </w:r>
      <w:r>
        <w:rPr>
          <w:rFonts w:hint="eastAsia"/>
        </w:rPr>
        <w:t xml:space="preserve">  </w:t>
      </w:r>
      <w:r>
        <w:t>生态</w:t>
      </w:r>
      <w:r>
        <w:rPr>
          <w:rFonts w:hint="eastAsia"/>
        </w:rPr>
        <w:t>环境</w:t>
      </w:r>
      <w:r>
        <w:t>体系建设</w:t>
      </w:r>
      <w:bookmarkEnd w:id="494"/>
      <w:bookmarkEnd w:id="495"/>
      <w:bookmarkEnd w:id="496"/>
      <w:bookmarkEnd w:id="497"/>
    </w:p>
    <w:p>
      <w:pPr>
        <w:pStyle w:val="5"/>
      </w:pPr>
      <w:bookmarkStart w:id="498" w:name="_Toc77349650"/>
      <w:bookmarkStart w:id="499" w:name="_Toc721395347_WPSOffice_Level3"/>
      <w:bookmarkStart w:id="500" w:name="_Toc77601409"/>
      <w:bookmarkStart w:id="501" w:name="_Toc77601227"/>
      <w:bookmarkStart w:id="502" w:name="_Toc10918"/>
      <w:bookmarkStart w:id="503" w:name="_Toc1956585278_WPSOffice_Level3"/>
      <w:r>
        <w:t>一、水环境质量</w:t>
      </w:r>
      <w:bookmarkEnd w:id="498"/>
      <w:bookmarkEnd w:id="499"/>
      <w:bookmarkEnd w:id="500"/>
      <w:bookmarkEnd w:id="501"/>
      <w:bookmarkEnd w:id="502"/>
      <w:bookmarkEnd w:id="503"/>
    </w:p>
    <w:p>
      <w:pPr>
        <w:spacing w:line="600" w:lineRule="exact"/>
        <w:ind w:firstLine="596" w:firstLineChars="198"/>
        <w:outlineLvl w:val="3"/>
        <w:rPr>
          <w:b/>
          <w:sz w:val="30"/>
          <w:szCs w:val="30"/>
        </w:rPr>
      </w:pPr>
      <w:r>
        <w:rPr>
          <w:b/>
          <w:sz w:val="30"/>
          <w:szCs w:val="30"/>
        </w:rPr>
        <w:t>（一）水环境</w:t>
      </w:r>
    </w:p>
    <w:p>
      <w:pPr>
        <w:pStyle w:val="2"/>
        <w:ind w:firstLine="560"/>
        <w:rPr>
          <w:sz w:val="28"/>
          <w:szCs w:val="28"/>
          <w:lang w:eastAsia="zh-CN"/>
        </w:rPr>
      </w:pPr>
      <w:r>
        <w:rPr>
          <w:rFonts w:hint="eastAsia"/>
          <w:sz w:val="28"/>
          <w:szCs w:val="28"/>
          <w:lang w:eastAsia="zh-CN"/>
        </w:rPr>
        <w:t>依据《地表水环境质量标准》（GB3838－2002）及《地表水环境质量评价办法（试行）》环办〔2011〕22号文件，对抚远市浓江河浓江乡断面和别拉洪河别拉洪村断面进行评价，2020年浓江河浓江乡断面共监测10次，</w:t>
      </w:r>
      <w:r>
        <w:rPr>
          <w:rFonts w:ascii="Times New Roman" w:hAnsi="Times New Roman" w:cs="Times New Roman"/>
          <w:sz w:val="28"/>
          <w:szCs w:val="28"/>
          <w:lang w:eastAsia="zh-CN"/>
        </w:rPr>
        <w:t>III</w:t>
      </w:r>
      <w:r>
        <w:rPr>
          <w:rFonts w:hint="eastAsia"/>
          <w:sz w:val="28"/>
          <w:szCs w:val="28"/>
          <w:lang w:eastAsia="zh-CN"/>
        </w:rPr>
        <w:t>类及优于</w:t>
      </w:r>
      <w:r>
        <w:rPr>
          <w:rFonts w:hint="eastAsia" w:ascii="Times New Roman" w:hAnsi="Times New Roman" w:cs="Times New Roman"/>
          <w:sz w:val="28"/>
          <w:szCs w:val="28"/>
          <w:lang w:eastAsia="zh-CN"/>
        </w:rPr>
        <w:t>III</w:t>
      </w:r>
      <w:r>
        <w:rPr>
          <w:rFonts w:hint="eastAsia"/>
          <w:sz w:val="28"/>
          <w:szCs w:val="28"/>
          <w:lang w:eastAsia="zh-CN"/>
        </w:rPr>
        <w:t>类水质达标率为30</w:t>
      </w:r>
      <w:r>
        <w:rPr>
          <w:rFonts w:hint="eastAsia" w:ascii="Times New Roman" w:hAnsi="Times New Roman" w:cs="Times New Roman"/>
          <w:sz w:val="28"/>
          <w:szCs w:val="28"/>
          <w:lang w:eastAsia="zh-CN"/>
        </w:rPr>
        <w:t>%</w:t>
      </w:r>
      <w:r>
        <w:rPr>
          <w:rFonts w:hint="eastAsia"/>
          <w:sz w:val="28"/>
          <w:szCs w:val="28"/>
          <w:lang w:eastAsia="zh-CN"/>
        </w:rPr>
        <w:t>；别拉洪河别拉洪村断面共监测8次，</w:t>
      </w:r>
      <w:r>
        <w:rPr>
          <w:rFonts w:hint="eastAsia" w:ascii="Times New Roman" w:hAnsi="Times New Roman" w:cs="Times New Roman"/>
          <w:sz w:val="28"/>
          <w:szCs w:val="28"/>
          <w:lang w:eastAsia="zh-CN"/>
        </w:rPr>
        <w:t>III</w:t>
      </w:r>
      <w:r>
        <w:rPr>
          <w:rFonts w:hint="eastAsia"/>
          <w:sz w:val="28"/>
          <w:szCs w:val="28"/>
          <w:lang w:eastAsia="zh-CN"/>
        </w:rPr>
        <w:t>类及优于</w:t>
      </w:r>
      <w:r>
        <w:rPr>
          <w:rFonts w:hint="eastAsia" w:ascii="Times New Roman" w:hAnsi="Times New Roman" w:cs="Times New Roman"/>
          <w:sz w:val="28"/>
          <w:szCs w:val="28"/>
          <w:lang w:eastAsia="zh-CN"/>
        </w:rPr>
        <w:t>III</w:t>
      </w:r>
      <w:r>
        <w:rPr>
          <w:rFonts w:hint="eastAsia"/>
          <w:sz w:val="28"/>
          <w:szCs w:val="28"/>
          <w:lang w:eastAsia="zh-CN"/>
        </w:rPr>
        <w:t>类水质达标率为50</w:t>
      </w:r>
      <w:r>
        <w:rPr>
          <w:rFonts w:hint="eastAsia" w:ascii="Times New Roman" w:hAnsi="Times New Roman" w:cs="Times New Roman"/>
          <w:sz w:val="28"/>
          <w:szCs w:val="28"/>
          <w:lang w:eastAsia="zh-CN"/>
        </w:rPr>
        <w:t>%</w:t>
      </w:r>
      <w:r>
        <w:rPr>
          <w:rFonts w:hint="eastAsia"/>
          <w:sz w:val="28"/>
          <w:szCs w:val="28"/>
          <w:lang w:eastAsia="zh-CN"/>
        </w:rPr>
        <w:t>。全年抚远市地表水</w:t>
      </w:r>
      <w:r>
        <w:rPr>
          <w:rFonts w:hint="eastAsia" w:ascii="Times New Roman" w:hAnsi="Times New Roman" w:cs="Times New Roman"/>
          <w:sz w:val="28"/>
          <w:szCs w:val="28"/>
          <w:lang w:eastAsia="zh-CN"/>
        </w:rPr>
        <w:t>III</w:t>
      </w:r>
      <w:r>
        <w:rPr>
          <w:rFonts w:hint="eastAsia"/>
          <w:sz w:val="28"/>
          <w:szCs w:val="28"/>
          <w:lang w:eastAsia="zh-CN"/>
        </w:rPr>
        <w:t>类及优于</w:t>
      </w:r>
      <w:r>
        <w:rPr>
          <w:rFonts w:hint="eastAsia" w:ascii="Times New Roman" w:hAnsi="Times New Roman" w:cs="Times New Roman"/>
          <w:sz w:val="28"/>
          <w:szCs w:val="28"/>
          <w:lang w:eastAsia="zh-CN"/>
        </w:rPr>
        <w:t>III</w:t>
      </w:r>
      <w:r>
        <w:rPr>
          <w:rFonts w:hint="eastAsia"/>
          <w:sz w:val="28"/>
          <w:szCs w:val="28"/>
          <w:lang w:eastAsia="zh-CN"/>
        </w:rPr>
        <w:t>类水质达标率为44.44</w:t>
      </w:r>
      <w:r>
        <w:rPr>
          <w:rFonts w:hint="eastAsia" w:ascii="Times New Roman" w:hAnsi="Times New Roman" w:cs="Times New Roman"/>
          <w:sz w:val="28"/>
          <w:szCs w:val="28"/>
          <w:lang w:eastAsia="zh-CN"/>
        </w:rPr>
        <w:t>%</w:t>
      </w:r>
      <w:r>
        <w:rPr>
          <w:rFonts w:hint="eastAsia"/>
          <w:sz w:val="28"/>
          <w:szCs w:val="28"/>
          <w:lang w:eastAsia="zh-CN"/>
        </w:rPr>
        <w:t>，同比去年提高4.44</w:t>
      </w:r>
      <w:r>
        <w:rPr>
          <w:rFonts w:hint="eastAsia" w:ascii="Times New Roman" w:hAnsi="Times New Roman" w:cs="Times New Roman"/>
          <w:sz w:val="28"/>
          <w:szCs w:val="28"/>
          <w:lang w:eastAsia="zh-CN"/>
        </w:rPr>
        <w:t>%</w:t>
      </w:r>
      <w:r>
        <w:rPr>
          <w:rFonts w:hint="eastAsia"/>
          <w:sz w:val="28"/>
          <w:szCs w:val="28"/>
          <w:lang w:eastAsia="zh-CN"/>
        </w:rPr>
        <w:t>。</w:t>
      </w:r>
    </w:p>
    <w:p>
      <w:pPr>
        <w:spacing w:line="600" w:lineRule="exact"/>
        <w:ind w:firstLine="596" w:firstLineChars="198"/>
        <w:outlineLvl w:val="3"/>
        <w:rPr>
          <w:b/>
          <w:sz w:val="30"/>
          <w:szCs w:val="30"/>
        </w:rPr>
      </w:pPr>
      <w:r>
        <w:rPr>
          <w:b/>
          <w:sz w:val="30"/>
          <w:szCs w:val="30"/>
        </w:rPr>
        <w:t>（二）水生态</w:t>
      </w:r>
    </w:p>
    <w:p>
      <w:pPr>
        <w:spacing w:line="600" w:lineRule="exact"/>
        <w:ind w:firstLine="560"/>
        <w:rPr>
          <w:rFonts w:ascii="宋体" w:hAnsi="宋体"/>
        </w:rPr>
      </w:pPr>
      <w:r>
        <w:rPr>
          <w:rFonts w:hint="eastAsia" w:ascii="宋体" w:hAnsi="宋体"/>
          <w:szCs w:val="28"/>
        </w:rPr>
        <w:t>从对抚远市水环境质量现状以及污染物排放趋势分析来看，抚远市在保持经济稳步增长的同时，水环境质量和污染得到了有效控制，但</w:t>
      </w:r>
      <w:r>
        <w:rPr>
          <w:rFonts w:hint="eastAsia" w:ascii="宋体" w:hAnsi="宋体"/>
        </w:rPr>
        <w:t>河流河道生态修复方面还有许多工作需要做</w:t>
      </w:r>
      <w:r>
        <w:rPr>
          <w:rFonts w:hint="eastAsia" w:ascii="宋体" w:hAnsi="宋体"/>
          <w:szCs w:val="28"/>
        </w:rPr>
        <w:t>。良好的河网生态系统对进入水体</w:t>
      </w:r>
      <w:r>
        <w:rPr>
          <w:rFonts w:hint="eastAsia" w:ascii="Times New Roman" w:hAnsi="Times New Roman" w:cs="Times New Roman"/>
          <w:szCs w:val="28"/>
        </w:rPr>
        <w:t>低浓度</w:t>
      </w:r>
      <w:r>
        <w:rPr>
          <w:rFonts w:hint="eastAsia" w:ascii="宋体" w:hAnsi="宋体"/>
          <w:szCs w:val="28"/>
        </w:rPr>
        <w:t>污染物有比较好的净化作用。修复河网生态系统是建立水环境自然还原体系的关键。需借助抚远市良好的生态资源禀赋，</w:t>
      </w:r>
      <w:r>
        <w:rPr>
          <w:rFonts w:hint="eastAsia" w:ascii="宋体" w:hAnsi="宋体"/>
        </w:rPr>
        <w:t>加强河流河道生态修复，提升水体水质和水生环境生物多样性。</w:t>
      </w:r>
    </w:p>
    <w:bookmarkEnd w:id="279"/>
    <w:bookmarkEnd w:id="280"/>
    <w:p>
      <w:pPr>
        <w:pStyle w:val="5"/>
      </w:pPr>
      <w:bookmarkStart w:id="504" w:name="_Toc77349651"/>
      <w:bookmarkStart w:id="505" w:name="_Toc11667"/>
      <w:bookmarkStart w:id="506" w:name="_Toc77601228"/>
      <w:bookmarkStart w:id="507" w:name="_Toc77601410"/>
      <w:bookmarkStart w:id="508" w:name="_Toc2059164482_WPSOffice_Level3"/>
      <w:bookmarkStart w:id="509" w:name="_Toc1946409714_WPSOffice_Level3"/>
      <w:bookmarkStart w:id="510" w:name="_Toc74642409"/>
      <w:r>
        <w:t>二、大气环境质量</w:t>
      </w:r>
      <w:bookmarkEnd w:id="504"/>
      <w:bookmarkEnd w:id="505"/>
      <w:bookmarkEnd w:id="506"/>
      <w:bookmarkEnd w:id="507"/>
      <w:bookmarkEnd w:id="508"/>
      <w:bookmarkEnd w:id="509"/>
    </w:p>
    <w:p>
      <w:pPr>
        <w:spacing w:line="600" w:lineRule="exact"/>
        <w:ind w:firstLine="596" w:firstLineChars="198"/>
        <w:outlineLvl w:val="3"/>
        <w:rPr>
          <w:rFonts w:ascii="宋体" w:hAnsi="宋体"/>
          <w:b/>
          <w:sz w:val="30"/>
          <w:szCs w:val="30"/>
        </w:rPr>
      </w:pPr>
      <w:r>
        <w:rPr>
          <w:rFonts w:ascii="宋体" w:hAnsi="宋体"/>
          <w:b/>
          <w:sz w:val="30"/>
          <w:szCs w:val="30"/>
        </w:rPr>
        <w:t>（一）大气污染</w:t>
      </w:r>
      <w:r>
        <w:rPr>
          <w:rFonts w:hint="eastAsia" w:ascii="宋体" w:hAnsi="宋体"/>
          <w:b/>
          <w:sz w:val="30"/>
          <w:szCs w:val="30"/>
        </w:rPr>
        <w:t>监测</w:t>
      </w:r>
    </w:p>
    <w:p>
      <w:pPr>
        <w:adjustRightInd w:val="0"/>
        <w:ind w:firstLine="560"/>
        <w:textAlignment w:val="baseline"/>
        <w:rPr>
          <w:rFonts w:ascii="Times New Roman" w:hAnsi="Times New Roman" w:cs="Times New Roman"/>
          <w:kern w:val="0"/>
          <w:szCs w:val="28"/>
        </w:rPr>
      </w:pPr>
      <w:r>
        <w:rPr>
          <w:rFonts w:hint="eastAsia" w:ascii="Times New Roman" w:hAnsi="Times New Roman" w:cs="Times New Roman"/>
          <w:kern w:val="0"/>
          <w:szCs w:val="28"/>
        </w:rPr>
        <w:t>2019年抚远市空气质量达到国家二级标准，市区环境空气质量指数AQI为1.37，达到和好于二级的优良天数为301天，优良天数达标率为98.6%。</w:t>
      </w:r>
    </w:p>
    <w:p>
      <w:pPr>
        <w:spacing w:line="600" w:lineRule="exact"/>
        <w:ind w:firstLine="596" w:firstLineChars="198"/>
        <w:outlineLvl w:val="3"/>
        <w:rPr>
          <w:rFonts w:ascii="宋体" w:hAnsi="宋体" w:cs="Times New Roman"/>
          <w:b/>
          <w:szCs w:val="28"/>
        </w:rPr>
      </w:pPr>
      <w:r>
        <w:rPr>
          <w:rFonts w:ascii="宋体" w:hAnsi="宋体"/>
          <w:b/>
          <w:sz w:val="30"/>
          <w:szCs w:val="30"/>
        </w:rPr>
        <w:t>（</w:t>
      </w:r>
      <w:r>
        <w:rPr>
          <w:rFonts w:hint="eastAsia" w:ascii="宋体" w:hAnsi="宋体"/>
          <w:b/>
          <w:sz w:val="30"/>
          <w:szCs w:val="30"/>
        </w:rPr>
        <w:t>二</w:t>
      </w:r>
      <w:r>
        <w:rPr>
          <w:rFonts w:ascii="宋体" w:hAnsi="宋体"/>
          <w:b/>
          <w:sz w:val="30"/>
          <w:szCs w:val="30"/>
        </w:rPr>
        <w:t>）大气污染</w:t>
      </w:r>
      <w:r>
        <w:rPr>
          <w:rFonts w:hint="eastAsia" w:ascii="宋体" w:hAnsi="宋体"/>
          <w:b/>
          <w:sz w:val="30"/>
          <w:szCs w:val="30"/>
        </w:rPr>
        <w:t>监管措施</w:t>
      </w:r>
    </w:p>
    <w:p>
      <w:pPr>
        <w:keepNext/>
        <w:keepLines/>
        <w:ind w:firstLine="602"/>
        <w:jc w:val="left"/>
        <w:outlineLvl w:val="1"/>
        <w:rPr>
          <w:rFonts w:ascii="宋体" w:hAnsi="宋体" w:cs="黑体"/>
          <w:b/>
          <w:color w:val="000000"/>
          <w:sz w:val="30"/>
          <w:szCs w:val="32"/>
        </w:rPr>
      </w:pPr>
      <w:bookmarkStart w:id="511" w:name="_Toc77600881"/>
      <w:bookmarkStart w:id="512" w:name="_Toc77601411"/>
      <w:bookmarkStart w:id="513" w:name="_Toc77601229"/>
      <w:r>
        <w:rPr>
          <w:rFonts w:hint="eastAsia" w:ascii="宋体" w:hAnsi="宋体" w:cs="黑体"/>
          <w:b/>
          <w:color w:val="000000"/>
          <w:sz w:val="30"/>
          <w:szCs w:val="32"/>
        </w:rPr>
        <w:t>（1）优化产业结构与布局</w:t>
      </w:r>
      <w:bookmarkEnd w:id="510"/>
      <w:bookmarkEnd w:id="511"/>
      <w:bookmarkEnd w:id="512"/>
      <w:bookmarkEnd w:id="513"/>
    </w:p>
    <w:p>
      <w:pPr>
        <w:adjustRightInd w:val="0"/>
        <w:ind w:firstLine="560"/>
        <w:textAlignment w:val="baseline"/>
        <w:rPr>
          <w:rFonts w:ascii="Times New Roman" w:hAnsi="Times New Roman" w:cs="仿宋"/>
          <w:kern w:val="0"/>
          <w:szCs w:val="28"/>
        </w:rPr>
      </w:pPr>
      <w:r>
        <w:rPr>
          <w:rFonts w:hint="eastAsia" w:ascii="Times New Roman" w:hAnsi="Times New Roman" w:cs="仿宋"/>
          <w:kern w:val="0"/>
          <w:szCs w:val="28"/>
        </w:rPr>
        <w:t>在产业结构方面，</w:t>
      </w:r>
      <w:r>
        <w:rPr>
          <w:rFonts w:hint="eastAsia" w:ascii="Times New Roman" w:hAnsi="Times New Roman" w:cs="ËÎÌå"/>
          <w:color w:val="000000"/>
          <w:kern w:val="0"/>
          <w:szCs w:val="28"/>
        </w:rPr>
        <w:t>抚远市</w:t>
      </w:r>
      <w:r>
        <w:rPr>
          <w:rFonts w:hint="eastAsia" w:ascii="Times New Roman" w:hAnsi="Times New Roman" w:cs="仿宋"/>
          <w:kern w:val="0"/>
          <w:szCs w:val="28"/>
        </w:rPr>
        <w:t>优化产业结构，合理规划工业布局。优先发展低能耗、低污染企业，逐步淘汰高能耗高污染的生产工艺和设备结合</w:t>
      </w:r>
      <w:r>
        <w:rPr>
          <w:rFonts w:hint="eastAsia" w:ascii="Times New Roman" w:hAnsi="Times New Roman" w:cs="ËÎÌå"/>
          <w:color w:val="000000"/>
          <w:kern w:val="0"/>
          <w:szCs w:val="28"/>
        </w:rPr>
        <w:t>抚远市</w:t>
      </w:r>
      <w:r>
        <w:rPr>
          <w:rFonts w:hint="eastAsia" w:ascii="Times New Roman" w:hAnsi="Times New Roman" w:cs="仿宋"/>
          <w:kern w:val="0"/>
          <w:szCs w:val="28"/>
        </w:rPr>
        <w:t>实际产业发展和空气质量状况，制定相应的淘汰政策，按照依法淘汰、就地转型和梯度移结合的工作原则，推动产业集聚、转型发展。</w:t>
      </w:r>
    </w:p>
    <w:p>
      <w:pPr>
        <w:keepNext/>
        <w:keepLines/>
        <w:ind w:firstLine="602"/>
        <w:jc w:val="left"/>
        <w:outlineLvl w:val="1"/>
        <w:rPr>
          <w:rFonts w:ascii="宋体" w:hAnsi="宋体" w:cs="黑体"/>
          <w:b/>
          <w:bCs/>
          <w:color w:val="000000"/>
          <w:sz w:val="30"/>
          <w:szCs w:val="32"/>
        </w:rPr>
      </w:pPr>
      <w:bookmarkStart w:id="514" w:name="_Toc77600882"/>
      <w:bookmarkStart w:id="515" w:name="_Toc74642410"/>
      <w:bookmarkStart w:id="516" w:name="_Toc77601412"/>
      <w:bookmarkStart w:id="517" w:name="_Toc77601230"/>
      <w:r>
        <w:rPr>
          <w:rFonts w:hint="eastAsia" w:ascii="宋体" w:hAnsi="宋体" w:cs="黑体"/>
          <w:b/>
          <w:bCs/>
          <w:color w:val="000000"/>
          <w:sz w:val="30"/>
          <w:szCs w:val="32"/>
        </w:rPr>
        <w:t>（2）调整能源结构，加强污染源头控制</w:t>
      </w:r>
      <w:bookmarkEnd w:id="514"/>
      <w:bookmarkEnd w:id="515"/>
      <w:bookmarkEnd w:id="516"/>
      <w:bookmarkEnd w:id="517"/>
    </w:p>
    <w:p>
      <w:pPr>
        <w:adjustRightInd w:val="0"/>
        <w:ind w:firstLine="560"/>
        <w:textAlignment w:val="baseline"/>
        <w:rPr>
          <w:rFonts w:ascii="Times New Roman" w:hAnsi="Times New Roman" w:cs="仿宋"/>
          <w:kern w:val="0"/>
          <w:szCs w:val="28"/>
        </w:rPr>
      </w:pPr>
      <w:r>
        <w:rPr>
          <w:rFonts w:hint="eastAsia" w:ascii="Times New Roman" w:hAnsi="Times New Roman" w:cs="仿宋"/>
          <w:kern w:val="0"/>
          <w:szCs w:val="28"/>
        </w:rPr>
        <w:t>根据</w:t>
      </w:r>
      <w:r>
        <w:rPr>
          <w:rFonts w:hint="eastAsia" w:ascii="Times New Roman" w:hAnsi="Times New Roman" w:cs="ËÎÌå"/>
          <w:color w:val="000000"/>
          <w:kern w:val="0"/>
          <w:szCs w:val="28"/>
        </w:rPr>
        <w:t>抚远市</w:t>
      </w:r>
      <w:r>
        <w:rPr>
          <w:rFonts w:hint="eastAsia" w:ascii="Times New Roman" w:hAnsi="Times New Roman" w:cs="仿宋"/>
          <w:kern w:val="0"/>
          <w:szCs w:val="28"/>
        </w:rPr>
        <w:t>能源使用现状，探索推广使用清洁能源方案，提高清洁能源普及率，推广使用天然气、液化石油气等清洁能源，减少煤炭等高污染燃料的使用。加大清洁能源供应，建立健全清洁、高效、稳定的现代能源保障体系，加快保障天然气等清洁能源的供应的基础设施建设，加大天然气等清洁能源的供应。发电厂和热电厂应使用洗净煤与低硫煤。实施低硫、低灰分配煤工程，推进煤炭清洁化利用，洁净煤使用率达到90%以上，对秸秆的利用率达到95%以上。</w:t>
      </w:r>
    </w:p>
    <w:p>
      <w:pPr>
        <w:keepNext/>
        <w:keepLines/>
        <w:ind w:firstLine="602"/>
        <w:jc w:val="left"/>
        <w:outlineLvl w:val="1"/>
        <w:rPr>
          <w:rFonts w:ascii="宋体" w:hAnsi="宋体" w:cs="黑体"/>
          <w:b/>
          <w:bCs/>
          <w:color w:val="000000"/>
          <w:sz w:val="30"/>
          <w:szCs w:val="32"/>
        </w:rPr>
      </w:pPr>
      <w:bookmarkStart w:id="518" w:name="_Toc74642411"/>
      <w:bookmarkStart w:id="519" w:name="_Toc77601231"/>
      <w:bookmarkStart w:id="520" w:name="_Toc77600883"/>
      <w:bookmarkStart w:id="521" w:name="_Toc77601413"/>
      <w:r>
        <w:rPr>
          <w:rFonts w:hint="eastAsia" w:ascii="宋体" w:hAnsi="宋体" w:cs="黑体"/>
          <w:b/>
          <w:bCs/>
          <w:color w:val="000000"/>
          <w:sz w:val="30"/>
          <w:szCs w:val="32"/>
        </w:rPr>
        <w:t>（3）加强废气污染治理</w:t>
      </w:r>
      <w:bookmarkEnd w:id="518"/>
      <w:bookmarkEnd w:id="519"/>
      <w:bookmarkEnd w:id="520"/>
      <w:bookmarkEnd w:id="521"/>
    </w:p>
    <w:p>
      <w:pPr>
        <w:adjustRightInd w:val="0"/>
        <w:ind w:firstLine="560"/>
        <w:textAlignment w:val="baseline"/>
        <w:rPr>
          <w:rFonts w:ascii="Times New Roman" w:hAnsi="Times New Roman" w:cs="仿宋"/>
          <w:kern w:val="0"/>
          <w:szCs w:val="28"/>
        </w:rPr>
      </w:pPr>
      <w:r>
        <w:rPr>
          <w:rFonts w:hint="eastAsia" w:ascii="Times New Roman" w:hAnsi="Times New Roman" w:cs="ËÎÌå"/>
          <w:color w:val="000000"/>
          <w:kern w:val="0"/>
          <w:szCs w:val="28"/>
        </w:rPr>
        <w:t>抚远市</w:t>
      </w:r>
      <w:r>
        <w:rPr>
          <w:rFonts w:hint="eastAsia" w:ascii="Times New Roman" w:hAnsi="Times New Roman" w:cs="仿宋"/>
          <w:kern w:val="0"/>
          <w:szCs w:val="28"/>
        </w:rPr>
        <w:t>在强化大气主要污染物治理方面应加快实施重点行业脱硫脱硝工程建设，区内火电（热电）、钢铁和水泥等行业实施脱硫脱硝工程，二氧化硫和氮氧化物稳定达到《火电厂大气污染物排放标准》（GB13223-2011）规定的排放限值。</w:t>
      </w:r>
    </w:p>
    <w:p>
      <w:pPr>
        <w:keepNext/>
        <w:keepLines/>
        <w:ind w:firstLine="602"/>
        <w:jc w:val="left"/>
        <w:outlineLvl w:val="1"/>
        <w:rPr>
          <w:rFonts w:ascii="宋体" w:hAnsi="宋体" w:cs="黑体"/>
          <w:b/>
          <w:bCs/>
          <w:color w:val="000000"/>
          <w:sz w:val="30"/>
          <w:szCs w:val="32"/>
        </w:rPr>
      </w:pPr>
      <w:bookmarkStart w:id="522" w:name="_Toc77601232"/>
      <w:bookmarkStart w:id="523" w:name="_Toc77600884"/>
      <w:bookmarkStart w:id="524" w:name="_Toc77601414"/>
      <w:bookmarkStart w:id="525" w:name="_Toc74642412"/>
      <w:r>
        <w:rPr>
          <w:rFonts w:hint="eastAsia" w:ascii="宋体" w:hAnsi="宋体" w:cs="黑体"/>
          <w:b/>
          <w:bCs/>
          <w:color w:val="000000"/>
          <w:sz w:val="30"/>
          <w:szCs w:val="32"/>
        </w:rPr>
        <w:t>（4）加强汽车尾气监控，有效降低污染物排放</w:t>
      </w:r>
      <w:bookmarkEnd w:id="522"/>
      <w:bookmarkEnd w:id="523"/>
      <w:bookmarkEnd w:id="524"/>
      <w:bookmarkEnd w:id="525"/>
    </w:p>
    <w:p>
      <w:pPr>
        <w:adjustRightInd w:val="0"/>
        <w:ind w:firstLine="560"/>
        <w:textAlignment w:val="baseline"/>
        <w:rPr>
          <w:rFonts w:ascii="Times New Roman" w:hAnsi="Times New Roman" w:cs="仿宋"/>
          <w:kern w:val="0"/>
          <w:szCs w:val="28"/>
        </w:rPr>
      </w:pPr>
      <w:r>
        <w:rPr>
          <w:rFonts w:hint="eastAsia" w:ascii="Times New Roman" w:hAnsi="Times New Roman" w:cs="ËÎÌå"/>
          <w:color w:val="000000"/>
          <w:kern w:val="0"/>
          <w:szCs w:val="28"/>
        </w:rPr>
        <w:t>抚远市</w:t>
      </w:r>
      <w:r>
        <w:rPr>
          <w:rFonts w:hint="eastAsia" w:ascii="Times New Roman" w:hAnsi="Times New Roman" w:cs="仿宋"/>
          <w:kern w:val="0"/>
          <w:szCs w:val="28"/>
        </w:rPr>
        <w:t>加强城市交通管理，优化功能和布局规划，推广智能交通管理，减缓城市交通拥堵。实施公交优先战略，提高公共出行比例，加强步行、自行车交通系统建设。在资源替换方面，</w:t>
      </w:r>
      <w:r>
        <w:rPr>
          <w:rFonts w:hint="eastAsia" w:ascii="Times New Roman" w:hAnsi="Times New Roman" w:cs="ËÎÌå"/>
          <w:color w:val="000000"/>
          <w:kern w:val="0"/>
          <w:szCs w:val="28"/>
        </w:rPr>
        <w:t>抚远市</w:t>
      </w:r>
      <w:r>
        <w:rPr>
          <w:rFonts w:hint="eastAsia" w:ascii="Times New Roman" w:hAnsi="Times New Roman" w:cs="仿宋"/>
          <w:kern w:val="0"/>
          <w:szCs w:val="28"/>
        </w:rPr>
        <w:t>大力推广新能源汽车。公交、环卫等行业和政府机关率先使用新能源汽车，采取直接上牌、财政补贴等措施鼓励个人购买。</w:t>
      </w:r>
    </w:p>
    <w:p>
      <w:pPr>
        <w:keepNext/>
        <w:keepLines/>
        <w:ind w:firstLine="602"/>
        <w:jc w:val="left"/>
        <w:outlineLvl w:val="1"/>
        <w:rPr>
          <w:rFonts w:ascii="宋体" w:hAnsi="宋体" w:cs="黑体"/>
          <w:b/>
          <w:bCs/>
          <w:color w:val="000000"/>
          <w:sz w:val="30"/>
          <w:szCs w:val="32"/>
        </w:rPr>
      </w:pPr>
      <w:bookmarkStart w:id="526" w:name="_Toc77601415"/>
      <w:bookmarkStart w:id="527" w:name="_Toc74642413"/>
      <w:bookmarkStart w:id="528" w:name="_Toc77600885"/>
      <w:bookmarkStart w:id="529" w:name="_Toc77601233"/>
      <w:r>
        <w:rPr>
          <w:rFonts w:hint="eastAsia" w:ascii="宋体" w:hAnsi="宋体" w:cs="黑体"/>
          <w:b/>
          <w:bCs/>
          <w:color w:val="000000"/>
          <w:sz w:val="30"/>
          <w:szCs w:val="32"/>
        </w:rPr>
        <w:t>（5）完善环境监测设施，强化监督管理</w:t>
      </w:r>
      <w:bookmarkEnd w:id="526"/>
      <w:bookmarkEnd w:id="527"/>
      <w:bookmarkEnd w:id="528"/>
      <w:bookmarkEnd w:id="529"/>
    </w:p>
    <w:p>
      <w:pPr>
        <w:adjustRightInd w:val="0"/>
        <w:ind w:firstLine="560"/>
        <w:textAlignment w:val="baseline"/>
        <w:rPr>
          <w:rFonts w:ascii="Times New Roman" w:hAnsi="Times New Roman" w:cs="仿宋"/>
          <w:kern w:val="0"/>
          <w:szCs w:val="28"/>
        </w:rPr>
      </w:pPr>
      <w:r>
        <w:rPr>
          <w:rFonts w:hint="eastAsia" w:ascii="Times New Roman" w:hAnsi="Times New Roman" w:cs="ËÎÌå"/>
          <w:color w:val="000000"/>
          <w:kern w:val="0"/>
          <w:szCs w:val="28"/>
        </w:rPr>
        <w:t>抚远市</w:t>
      </w:r>
      <w:r>
        <w:rPr>
          <w:rFonts w:hint="eastAsia" w:ascii="Times New Roman" w:hAnsi="Times New Roman" w:cs="仿宋"/>
          <w:kern w:val="0"/>
          <w:szCs w:val="28"/>
        </w:rPr>
        <w:t>不断强化空气污染源的监督管理，建立完善的污染源在线监控机制，自动监控及应急响应系统，提高污染源的污染监测、污染监测、境管理的技术水平，逐步实现污染源的自动监控。合理完善大气环境监测点位设置，按照《环境空气质量标准》（GB 3095-2012）监测点位布设原则，酌情考虑监测点位的增设调整。</w:t>
      </w:r>
    </w:p>
    <w:p>
      <w:pPr>
        <w:pStyle w:val="5"/>
      </w:pPr>
      <w:bookmarkStart w:id="530" w:name="_Toc1678477569_WPSOffice_Level3"/>
      <w:bookmarkStart w:id="531" w:name="_Toc77349652"/>
      <w:bookmarkStart w:id="532" w:name="_Toc689668447_WPSOffice_Level3"/>
      <w:bookmarkStart w:id="533" w:name="_Toc17395"/>
      <w:bookmarkStart w:id="534" w:name="_Toc77601416"/>
      <w:bookmarkStart w:id="535" w:name="_Toc77601234"/>
      <w:bookmarkStart w:id="536" w:name="_Toc74642415"/>
      <w:r>
        <w:t>三、土壤环境质量</w:t>
      </w:r>
      <w:bookmarkEnd w:id="530"/>
      <w:bookmarkEnd w:id="531"/>
      <w:bookmarkEnd w:id="532"/>
      <w:bookmarkEnd w:id="533"/>
      <w:r>
        <w:rPr>
          <w:rFonts w:hint="eastAsia"/>
        </w:rPr>
        <w:t>保护措施</w:t>
      </w:r>
      <w:bookmarkEnd w:id="534"/>
      <w:bookmarkEnd w:id="535"/>
    </w:p>
    <w:p>
      <w:pPr>
        <w:keepNext/>
        <w:keepLines/>
        <w:ind w:firstLine="602"/>
        <w:jc w:val="left"/>
        <w:outlineLvl w:val="1"/>
        <w:rPr>
          <w:rFonts w:ascii="宋体" w:hAnsi="宋体" w:cs="黑体"/>
          <w:b/>
          <w:bCs/>
          <w:color w:val="000000"/>
          <w:sz w:val="30"/>
          <w:szCs w:val="32"/>
        </w:rPr>
      </w:pPr>
      <w:bookmarkStart w:id="537" w:name="_Toc77601235"/>
      <w:bookmarkStart w:id="538" w:name="_Toc77601417"/>
      <w:bookmarkStart w:id="539" w:name="_Toc77600886"/>
      <w:r>
        <w:rPr>
          <w:rFonts w:hint="eastAsia" w:ascii="宋体" w:hAnsi="宋体" w:cs="黑体"/>
          <w:b/>
          <w:bCs/>
          <w:sz w:val="30"/>
          <w:szCs w:val="30"/>
        </w:rPr>
        <w:t>（一）</w:t>
      </w:r>
      <w:r>
        <w:rPr>
          <w:rFonts w:hint="eastAsia" w:ascii="宋体" w:hAnsi="宋体" w:cs="黑体"/>
          <w:b/>
          <w:bCs/>
          <w:color w:val="000000"/>
          <w:sz w:val="30"/>
          <w:szCs w:val="32"/>
        </w:rPr>
        <w:t>集约利用土地资源，构建土壤环境监管体系</w:t>
      </w:r>
      <w:bookmarkEnd w:id="536"/>
      <w:bookmarkEnd w:id="537"/>
      <w:bookmarkEnd w:id="538"/>
      <w:bookmarkEnd w:id="539"/>
    </w:p>
    <w:p>
      <w:pPr>
        <w:adjustRightInd w:val="0"/>
        <w:ind w:firstLine="560"/>
        <w:textAlignment w:val="baseline"/>
        <w:rPr>
          <w:rFonts w:ascii="Times New Roman" w:hAnsi="Times New Roman" w:cs="仿宋"/>
          <w:kern w:val="0"/>
          <w:szCs w:val="28"/>
        </w:rPr>
      </w:pPr>
      <w:r>
        <w:rPr>
          <w:rFonts w:hint="eastAsia" w:ascii="Times New Roman" w:hAnsi="Times New Roman" w:cs="ËÎÌå"/>
          <w:color w:val="000000"/>
          <w:kern w:val="0"/>
          <w:szCs w:val="28"/>
        </w:rPr>
        <w:t>抚远市</w:t>
      </w:r>
      <w:r>
        <w:rPr>
          <w:rFonts w:hint="eastAsia" w:ascii="Times New Roman" w:hAnsi="Times New Roman" w:cs="仿宋"/>
          <w:kern w:val="0"/>
          <w:szCs w:val="28"/>
        </w:rPr>
        <w:t>严格土地资源利用制度，强化规划和年度计划管控，严格用途管制，建立健全的节约集约用地的激励和约束机制，逐步完善土地要素市场，优化土地资源配置，建立</w:t>
      </w:r>
      <w:r>
        <w:rPr>
          <w:rFonts w:hint="eastAsia" w:ascii="Times New Roman" w:hAnsi="Times New Roman" w:cs="ËÎÌå"/>
          <w:color w:val="000000"/>
          <w:kern w:val="0"/>
          <w:szCs w:val="28"/>
        </w:rPr>
        <w:t>抚远市</w:t>
      </w:r>
      <w:r>
        <w:rPr>
          <w:rFonts w:hint="eastAsia" w:ascii="Times New Roman" w:hAnsi="Times New Roman" w:cs="仿宋"/>
          <w:kern w:val="0"/>
          <w:szCs w:val="28"/>
        </w:rPr>
        <w:t>生态环境信息管理系统。</w:t>
      </w:r>
    </w:p>
    <w:p>
      <w:pPr>
        <w:adjustRightInd w:val="0"/>
        <w:ind w:firstLine="560"/>
        <w:textAlignment w:val="baseline"/>
        <w:rPr>
          <w:rFonts w:ascii="Times New Roman" w:hAnsi="Times New Roman" w:cs="仿宋"/>
          <w:kern w:val="0"/>
          <w:szCs w:val="28"/>
        </w:rPr>
      </w:pPr>
      <w:r>
        <w:rPr>
          <w:rFonts w:hint="eastAsia" w:ascii="Times New Roman" w:hAnsi="Times New Roman" w:cs="仿宋"/>
          <w:kern w:val="0"/>
          <w:szCs w:val="28"/>
        </w:rPr>
        <w:t>其次，</w:t>
      </w:r>
      <w:r>
        <w:rPr>
          <w:rFonts w:hint="eastAsia" w:ascii="Times New Roman" w:hAnsi="Times New Roman" w:cs="ËÎÌå"/>
          <w:color w:val="000000"/>
          <w:kern w:val="0"/>
          <w:szCs w:val="28"/>
        </w:rPr>
        <w:t>抚远市</w:t>
      </w:r>
      <w:r>
        <w:rPr>
          <w:rFonts w:hint="eastAsia" w:ascii="Times New Roman" w:hAnsi="Times New Roman" w:cs="仿宋"/>
          <w:kern w:val="0"/>
          <w:szCs w:val="28"/>
        </w:rPr>
        <w:t>规划建立、健全土壤环境常规监测制度与监管体系。逐步完善土壤环境监测网络，建立土壤环境质量常规监测制度，对全市土壤环境质量实施动态监测，全面摸清土壤环境质量现状，同时建立污染土壤档案库和数据库，实现土壤环境质量动态发布。建立优先修复污染土壤清单，提出</w:t>
      </w:r>
      <w:r>
        <w:rPr>
          <w:rFonts w:hint="eastAsia" w:ascii="Times New Roman" w:hAnsi="Times New Roman" w:cs="ËÎÌå"/>
          <w:color w:val="000000"/>
          <w:kern w:val="0"/>
          <w:szCs w:val="28"/>
        </w:rPr>
        <w:t>抚远市</w:t>
      </w:r>
      <w:r>
        <w:rPr>
          <w:rFonts w:hint="eastAsia" w:ascii="Times New Roman" w:hAnsi="Times New Roman" w:cs="仿宋"/>
          <w:kern w:val="0"/>
          <w:szCs w:val="28"/>
        </w:rPr>
        <w:t>土壤分区控制、利用和保护对策。最后，</w:t>
      </w:r>
      <w:r>
        <w:rPr>
          <w:rFonts w:hint="eastAsia" w:ascii="Times New Roman" w:hAnsi="Times New Roman" w:cs="ËÎÌå"/>
          <w:color w:val="000000"/>
          <w:kern w:val="0"/>
          <w:szCs w:val="28"/>
        </w:rPr>
        <w:t>抚远市</w:t>
      </w:r>
      <w:r>
        <w:rPr>
          <w:rFonts w:hint="eastAsia" w:ascii="Times New Roman" w:hAnsi="Times New Roman" w:cs="仿宋"/>
          <w:kern w:val="0"/>
          <w:szCs w:val="28"/>
        </w:rPr>
        <w:t>建立土壤污染责任追究制度，强化治理修复责任制，建立</w:t>
      </w:r>
      <w:r>
        <w:rPr>
          <w:rFonts w:hint="eastAsia" w:ascii="Times New Roman" w:hAnsi="Times New Roman" w:cs="ËÎÌå"/>
          <w:color w:val="000000"/>
          <w:kern w:val="0"/>
          <w:szCs w:val="28"/>
        </w:rPr>
        <w:t>抚远市</w:t>
      </w:r>
      <w:r>
        <w:rPr>
          <w:rFonts w:hint="eastAsia" w:ascii="Times New Roman" w:hAnsi="Times New Roman" w:cs="仿宋"/>
          <w:kern w:val="0"/>
          <w:szCs w:val="28"/>
        </w:rPr>
        <w:t>突发土壤环境事件应急制度。</w:t>
      </w:r>
    </w:p>
    <w:p>
      <w:pPr>
        <w:keepNext/>
        <w:keepLines/>
        <w:ind w:firstLine="602"/>
        <w:jc w:val="left"/>
        <w:outlineLvl w:val="1"/>
        <w:rPr>
          <w:rFonts w:ascii="宋体" w:hAnsi="宋体" w:cs="黑体"/>
          <w:b/>
          <w:color w:val="000000"/>
          <w:sz w:val="30"/>
          <w:szCs w:val="32"/>
        </w:rPr>
      </w:pPr>
      <w:bookmarkStart w:id="540" w:name="_Toc74642416"/>
      <w:bookmarkStart w:id="541" w:name="_Toc77600887"/>
      <w:bookmarkStart w:id="542" w:name="_Toc77601418"/>
      <w:bookmarkStart w:id="543" w:name="_Toc77601236"/>
      <w:r>
        <w:rPr>
          <w:rFonts w:hint="eastAsia" w:ascii="宋体" w:hAnsi="宋体" w:cs="黑体"/>
          <w:b/>
          <w:sz w:val="30"/>
          <w:szCs w:val="30"/>
        </w:rPr>
        <w:t>（二）</w:t>
      </w:r>
      <w:r>
        <w:rPr>
          <w:rFonts w:hint="eastAsia" w:ascii="宋体" w:hAnsi="宋体" w:cs="黑体"/>
          <w:b/>
          <w:color w:val="000000"/>
          <w:sz w:val="30"/>
          <w:szCs w:val="32"/>
        </w:rPr>
        <w:t>加强土壤污染预防，实施土壤环境准入管理</w:t>
      </w:r>
      <w:bookmarkEnd w:id="540"/>
      <w:bookmarkEnd w:id="541"/>
      <w:bookmarkEnd w:id="542"/>
      <w:bookmarkEnd w:id="543"/>
    </w:p>
    <w:p>
      <w:pPr>
        <w:adjustRightInd w:val="0"/>
        <w:ind w:firstLine="560"/>
        <w:textAlignment w:val="baseline"/>
        <w:rPr>
          <w:rFonts w:ascii="Times New Roman" w:hAnsi="Times New Roman" w:cs="仿宋"/>
          <w:kern w:val="0"/>
          <w:szCs w:val="28"/>
        </w:rPr>
      </w:pPr>
      <w:r>
        <w:rPr>
          <w:rFonts w:hint="eastAsia" w:ascii="Times New Roman" w:hAnsi="Times New Roman" w:cs="ËÎÌå"/>
          <w:color w:val="000000"/>
          <w:kern w:val="0"/>
          <w:szCs w:val="28"/>
        </w:rPr>
        <w:t>抚远市</w:t>
      </w:r>
      <w:r>
        <w:rPr>
          <w:rFonts w:hint="eastAsia" w:ascii="Times New Roman" w:hAnsi="Times New Roman" w:cs="仿宋"/>
          <w:kern w:val="0"/>
          <w:szCs w:val="28"/>
        </w:rPr>
        <w:t>通过对土壤环境研究，制定土壤污染防治技术指南，实施土壤环境准入管理，建立健全</w:t>
      </w:r>
      <w:r>
        <w:rPr>
          <w:rFonts w:hint="eastAsia" w:ascii="Times New Roman" w:hAnsi="Times New Roman" w:cs="ËÎÌå"/>
          <w:color w:val="000000"/>
          <w:kern w:val="0"/>
          <w:szCs w:val="28"/>
        </w:rPr>
        <w:t>抚远市</w:t>
      </w:r>
      <w:r>
        <w:rPr>
          <w:rFonts w:hint="eastAsia" w:ascii="Times New Roman" w:hAnsi="Times New Roman" w:cs="仿宋"/>
          <w:kern w:val="0"/>
          <w:szCs w:val="28"/>
        </w:rPr>
        <w:t>建设项目用地土壤环境质量评估与备案制度。在标准上，</w:t>
      </w:r>
      <w:r>
        <w:rPr>
          <w:rFonts w:hint="eastAsia" w:ascii="Times New Roman" w:hAnsi="Times New Roman" w:cs="ËÎÌå"/>
          <w:color w:val="000000"/>
          <w:kern w:val="0"/>
          <w:szCs w:val="28"/>
        </w:rPr>
        <w:t>抚远市</w:t>
      </w:r>
      <w:r>
        <w:rPr>
          <w:rFonts w:hint="eastAsia" w:ascii="Times New Roman" w:hAnsi="Times New Roman" w:cs="仿宋"/>
          <w:kern w:val="0"/>
          <w:szCs w:val="28"/>
        </w:rPr>
        <w:t>严格执行《土壤环境质量标准》和《展览会用地土壤环境质量评价标准》等相关标准，对新、改、扩建有较大污染风险项目，如有重金属、有毒有机物等污染物排放项目，在环境影响评价中要开展土壤污染风险评价。</w:t>
      </w:r>
    </w:p>
    <w:p>
      <w:pPr>
        <w:adjustRightInd w:val="0"/>
        <w:ind w:firstLine="560"/>
        <w:textAlignment w:val="baseline"/>
        <w:rPr>
          <w:rFonts w:ascii="Times New Roman" w:hAnsi="Times New Roman" w:cs="仿宋"/>
          <w:kern w:val="0"/>
          <w:szCs w:val="28"/>
        </w:rPr>
      </w:pPr>
      <w:bookmarkStart w:id="544" w:name="_Hlk73383798"/>
      <w:r>
        <w:rPr>
          <w:rFonts w:hint="eastAsia" w:ascii="Times New Roman" w:hAnsi="Times New Roman" w:cs="ËÎÌå"/>
          <w:color w:val="000000"/>
          <w:kern w:val="0"/>
          <w:szCs w:val="28"/>
        </w:rPr>
        <w:t>抚远市</w:t>
      </w:r>
      <w:r>
        <w:rPr>
          <w:rFonts w:hint="eastAsia" w:ascii="Times New Roman" w:hAnsi="Times New Roman" w:cs="仿宋"/>
          <w:kern w:val="0"/>
          <w:szCs w:val="28"/>
        </w:rPr>
        <w:t>在加强农田土壤污染防治方面加大力度，逐步加强农村生活垃圾、农业废弃物（如废弃农膜、农药瓶等）对土壤污染的预防。</w:t>
      </w:r>
      <w:r>
        <w:rPr>
          <w:rFonts w:hint="eastAsia" w:ascii="Times New Roman" w:hAnsi="Times New Roman" w:cs="ËÎÌå"/>
          <w:color w:val="000000"/>
          <w:kern w:val="0"/>
          <w:szCs w:val="28"/>
        </w:rPr>
        <w:t>抚远市</w:t>
      </w:r>
      <w:r>
        <w:rPr>
          <w:rFonts w:hint="eastAsia" w:ascii="Times New Roman" w:hAnsi="Times New Roman" w:cs="仿宋"/>
          <w:kern w:val="0"/>
          <w:szCs w:val="28"/>
        </w:rPr>
        <w:t>政府大力发展生态农业，加大有机、绿色和无公害农产品基地建设，减轻农药化肥对农田土壤的污染。</w:t>
      </w:r>
    </w:p>
    <w:bookmarkEnd w:id="544"/>
    <w:p>
      <w:pPr>
        <w:keepNext/>
        <w:keepLines/>
        <w:ind w:firstLine="602"/>
        <w:jc w:val="left"/>
        <w:outlineLvl w:val="1"/>
        <w:rPr>
          <w:rFonts w:ascii="宋体" w:hAnsi="宋体" w:cs="黑体"/>
          <w:b/>
          <w:color w:val="000000"/>
          <w:sz w:val="30"/>
          <w:szCs w:val="32"/>
        </w:rPr>
      </w:pPr>
      <w:bookmarkStart w:id="545" w:name="_Toc77600888"/>
      <w:bookmarkStart w:id="546" w:name="_Toc77601237"/>
      <w:bookmarkStart w:id="547" w:name="_Toc74642417"/>
      <w:bookmarkStart w:id="548" w:name="_Toc77601419"/>
      <w:r>
        <w:rPr>
          <w:rFonts w:hint="eastAsia" w:ascii="宋体" w:hAnsi="宋体" w:cs="黑体"/>
          <w:b/>
          <w:sz w:val="30"/>
          <w:szCs w:val="30"/>
        </w:rPr>
        <w:t>（三）</w:t>
      </w:r>
      <w:r>
        <w:rPr>
          <w:rFonts w:hint="eastAsia" w:ascii="宋体" w:hAnsi="宋体" w:cs="黑体"/>
          <w:b/>
          <w:color w:val="000000"/>
          <w:sz w:val="30"/>
          <w:szCs w:val="32"/>
        </w:rPr>
        <w:t>加强土壤污染治理，建立污染土壤修复制度</w:t>
      </w:r>
      <w:bookmarkEnd w:id="545"/>
      <w:bookmarkEnd w:id="546"/>
      <w:bookmarkEnd w:id="547"/>
      <w:bookmarkEnd w:id="548"/>
    </w:p>
    <w:p>
      <w:pPr>
        <w:adjustRightInd w:val="0"/>
        <w:ind w:firstLine="560"/>
        <w:textAlignment w:val="baseline"/>
        <w:rPr>
          <w:rFonts w:ascii="Times New Roman" w:hAnsi="Times New Roman" w:cs="仿宋"/>
          <w:kern w:val="0"/>
          <w:szCs w:val="28"/>
        </w:rPr>
      </w:pPr>
      <w:r>
        <w:rPr>
          <w:rFonts w:hint="eastAsia" w:ascii="Times New Roman" w:hAnsi="Times New Roman" w:cs="仿宋"/>
          <w:kern w:val="0"/>
          <w:szCs w:val="28"/>
        </w:rPr>
        <w:t>在土壤污染治理方面，</w:t>
      </w:r>
      <w:r>
        <w:rPr>
          <w:rFonts w:hint="eastAsia" w:ascii="Times New Roman" w:hAnsi="Times New Roman" w:cs="ËÎÌå"/>
          <w:color w:val="000000"/>
          <w:kern w:val="0"/>
          <w:szCs w:val="28"/>
        </w:rPr>
        <w:t>抚远市</w:t>
      </w:r>
      <w:r>
        <w:rPr>
          <w:rFonts w:hint="eastAsia" w:ascii="Times New Roman" w:hAnsi="Times New Roman" w:cs="仿宋"/>
          <w:kern w:val="0"/>
          <w:szCs w:val="28"/>
        </w:rPr>
        <w:t>加强污染场地土壤治理，建立土壤污染风险评估和污染土壤修复制度。开展典型区域、典型类型污染土壤修复试点。同时</w:t>
      </w:r>
      <w:r>
        <w:rPr>
          <w:rFonts w:hint="eastAsia" w:ascii="Times New Roman" w:hAnsi="Times New Roman" w:cs="ËÎÌå"/>
          <w:color w:val="000000"/>
          <w:kern w:val="0"/>
          <w:szCs w:val="28"/>
        </w:rPr>
        <w:t>抚远市</w:t>
      </w:r>
      <w:r>
        <w:rPr>
          <w:rFonts w:hint="eastAsia" w:ascii="Times New Roman" w:hAnsi="Times New Roman" w:cs="仿宋"/>
          <w:kern w:val="0"/>
          <w:szCs w:val="28"/>
        </w:rPr>
        <w:t>加强废弃矿场、垃圾填埋场的生态修复，建立高效的联合修复技术示范工程，开展持久性有机污染物（POPs）污染土壤的无害化处理，强化主要农作物基地等农田土壤重点污染区的污染预防和治理修复。对于土壤与重金属环境修复试点示范，</w:t>
      </w:r>
      <w:r>
        <w:rPr>
          <w:rFonts w:hint="eastAsia" w:ascii="Times New Roman" w:hAnsi="Times New Roman" w:cs="ËÎÌå"/>
          <w:color w:val="000000"/>
          <w:kern w:val="0"/>
          <w:szCs w:val="28"/>
        </w:rPr>
        <w:t>抚远市</w:t>
      </w:r>
      <w:r>
        <w:rPr>
          <w:rFonts w:hint="eastAsia" w:ascii="Times New Roman" w:hAnsi="Times New Roman" w:cs="仿宋"/>
          <w:kern w:val="0"/>
          <w:szCs w:val="28"/>
        </w:rPr>
        <w:t>在污染产业密集、历史遗留问题突出、风险隐患较大的重金属防控区开展专项整治。</w:t>
      </w:r>
    </w:p>
    <w:p>
      <w:pPr>
        <w:pStyle w:val="5"/>
      </w:pPr>
      <w:bookmarkStart w:id="549" w:name="_Toc10113"/>
      <w:bookmarkStart w:id="550" w:name="_Toc77601238"/>
      <w:bookmarkStart w:id="551" w:name="_Toc77349653"/>
      <w:bookmarkStart w:id="552" w:name="_Toc1288345870_WPSOffice_Level3"/>
      <w:bookmarkStart w:id="553" w:name="_Toc827315191_WPSOffice_Level3"/>
      <w:bookmarkStart w:id="554" w:name="_Toc77601420"/>
      <w:bookmarkStart w:id="555" w:name="_Toc74642419"/>
      <w:r>
        <w:t>四、生态系统保护与修复</w:t>
      </w:r>
      <w:bookmarkEnd w:id="549"/>
      <w:bookmarkEnd w:id="550"/>
      <w:bookmarkEnd w:id="551"/>
      <w:bookmarkEnd w:id="552"/>
      <w:bookmarkEnd w:id="553"/>
      <w:bookmarkEnd w:id="554"/>
    </w:p>
    <w:p>
      <w:pPr>
        <w:keepNext/>
        <w:keepLines/>
        <w:ind w:firstLine="602"/>
        <w:jc w:val="left"/>
        <w:outlineLvl w:val="1"/>
        <w:rPr>
          <w:rFonts w:ascii="宋体" w:hAnsi="宋体"/>
          <w:b/>
          <w:bCs/>
          <w:color w:val="000000"/>
          <w:sz w:val="30"/>
          <w:szCs w:val="32"/>
        </w:rPr>
      </w:pPr>
      <w:bookmarkStart w:id="556" w:name="_Toc77600889"/>
      <w:bookmarkStart w:id="557" w:name="_Toc77601239"/>
      <w:bookmarkStart w:id="558" w:name="_Toc77601421"/>
      <w:r>
        <w:rPr>
          <w:rFonts w:hint="eastAsia" w:ascii="宋体" w:hAnsi="宋体"/>
          <w:b/>
          <w:bCs/>
          <w:color w:val="000000"/>
          <w:sz w:val="30"/>
          <w:szCs w:val="32"/>
        </w:rPr>
        <w:t>（一）生态保护</w:t>
      </w:r>
      <w:bookmarkEnd w:id="555"/>
      <w:bookmarkEnd w:id="556"/>
      <w:bookmarkEnd w:id="557"/>
      <w:bookmarkEnd w:id="558"/>
    </w:p>
    <w:p>
      <w:pPr>
        <w:adjustRightInd w:val="0"/>
        <w:ind w:firstLine="560"/>
        <w:textAlignment w:val="baseline"/>
        <w:rPr>
          <w:rFonts w:ascii="Times New Roman" w:hAnsi="Times New Roman" w:cs="仿宋"/>
          <w:kern w:val="0"/>
          <w:szCs w:val="28"/>
        </w:rPr>
      </w:pPr>
      <w:r>
        <w:rPr>
          <w:rFonts w:hint="eastAsia" w:ascii="Times New Roman" w:hAnsi="Times New Roman" w:cs="仿宋"/>
          <w:kern w:val="0"/>
          <w:szCs w:val="28"/>
        </w:rPr>
        <w:t>坚持绿水青山就是金山银山理念，坚持尊重自然、顺应自然、保护自然，深入实施可持续发展战略，守住自然生态安全边界，提升天蓝、地绿、水净生态环境，加快形成绿色发展方式，争创国家生态文明建设示范市及“两山理念实践基地”，打造东北地区生态文明建设展示窗口。</w:t>
      </w:r>
    </w:p>
    <w:p>
      <w:pPr>
        <w:overflowPunct w:val="0"/>
        <w:adjustRightInd w:val="0"/>
        <w:ind w:firstLine="560"/>
        <w:textAlignment w:val="baseline"/>
        <w:rPr>
          <w:rFonts w:ascii="Times New Roman" w:hAnsi="Times New Roman" w:cs="仿宋"/>
          <w:kern w:val="0"/>
          <w:szCs w:val="28"/>
        </w:rPr>
      </w:pPr>
      <w:bookmarkStart w:id="559" w:name="_Toc55578621"/>
      <w:r>
        <w:rPr>
          <w:rFonts w:hint="eastAsia" w:ascii="Times New Roman" w:hAnsi="Times New Roman" w:cs="仿宋"/>
          <w:kern w:val="0"/>
          <w:szCs w:val="28"/>
        </w:rPr>
        <w:t>统筹山水林田湖草自然生态系统，全面加强森林、河流、湖泊、湿地、草原等一体化保护修复，强化生物多样性保护，护美绿色本底。</w:t>
      </w:r>
    </w:p>
    <w:bookmarkEnd w:id="559"/>
    <w:p>
      <w:pPr>
        <w:adjustRightInd w:val="0"/>
        <w:ind w:firstLine="560"/>
        <w:textAlignment w:val="baseline"/>
        <w:rPr>
          <w:rFonts w:ascii="Times New Roman" w:hAnsi="Times New Roman" w:cs="仿宋"/>
          <w:kern w:val="0"/>
          <w:szCs w:val="28"/>
        </w:rPr>
      </w:pPr>
      <w:r>
        <w:rPr>
          <w:rFonts w:hint="eastAsia" w:ascii="Times New Roman" w:hAnsi="Times New Roman" w:cs="仿宋"/>
          <w:kern w:val="0"/>
          <w:szCs w:val="28"/>
        </w:rPr>
        <w:t>推行林长制，全面加强森林资源保护，推动三北五期防护林工程建设，推进天然林保护。加强三江国家级自然保护区、黑瞎子岛国家级湿地自然保护区、华夏东极森林公园分级分类管护，构建自然保护地体系，筑牢龙江东部地区重要生态屏障。优化中、北部地区农田防护林布局，营造水土保持林和速生丰产林。加快矿山裸地生态修复治理，推进矿山园林生态修复，加强黑龙江、乌苏里江沿岸生态公益林建设和保护。推进草原保护与利用，改善中南部区域生态质量，做到整治到位不留尾巴、修复到位不留空白、保护到位不留缝隙。</w:t>
      </w:r>
    </w:p>
    <w:p>
      <w:pPr>
        <w:overflowPunct w:val="0"/>
        <w:adjustRightInd w:val="0"/>
        <w:ind w:firstLine="560"/>
        <w:textAlignment w:val="baseline"/>
        <w:rPr>
          <w:rFonts w:ascii="Times New Roman" w:hAnsi="Times New Roman" w:cs="仿宋"/>
          <w:kern w:val="0"/>
          <w:szCs w:val="28"/>
        </w:rPr>
      </w:pPr>
      <w:bookmarkStart w:id="560" w:name="_Toc55578622"/>
      <w:r>
        <w:rPr>
          <w:rFonts w:hint="eastAsia" w:ascii="Times New Roman" w:hAnsi="Times New Roman" w:cs="仿宋"/>
          <w:kern w:val="0"/>
          <w:szCs w:val="28"/>
        </w:rPr>
        <w:t>加快“大湿地”保护修复</w:t>
      </w:r>
      <w:bookmarkEnd w:id="560"/>
      <w:r>
        <w:rPr>
          <w:rFonts w:hint="eastAsia" w:ascii="Times New Roman" w:hAnsi="Times New Roman" w:cs="仿宋"/>
          <w:kern w:val="0"/>
          <w:szCs w:val="28"/>
        </w:rPr>
        <w:t>。落实河湖长制，推进黑龙江和乌苏里江及其一级支流的湿地保护，加快大加里湖等河库湿地治理。通过湿地补水、污染防控、退耕还湿，加快退化湿地修复与综合治理，提升湿地保护与管理水平，增强湿地蓄水调洪和净水贮碳能力。推进黑瞎子岛国家湿地公园建设，加强沼泽湿地原生态系统保护，增强湿地公园保护性、教育性和参与性。加快小流域综合治理，加强小流域退耕还林、坡耕地治理改造，强化三江国家级自然保护区湿地和水域生态系统保护修复，恢复南部地区湿地生态系统。</w:t>
      </w:r>
    </w:p>
    <w:p>
      <w:pPr>
        <w:adjustRightInd w:val="0"/>
        <w:ind w:firstLine="560"/>
        <w:textAlignment w:val="baseline"/>
        <w:rPr>
          <w:rFonts w:ascii="Times New Roman" w:hAnsi="Times New Roman" w:cs="仿宋"/>
          <w:kern w:val="0"/>
          <w:szCs w:val="28"/>
        </w:rPr>
      </w:pPr>
      <w:bookmarkStart w:id="561" w:name="_Toc55578623"/>
      <w:r>
        <w:rPr>
          <w:rFonts w:hint="eastAsia" w:ascii="Times New Roman" w:hAnsi="Times New Roman" w:cs="仿宋"/>
          <w:kern w:val="0"/>
          <w:szCs w:val="28"/>
        </w:rPr>
        <w:t>加强“大界江”水土治理</w:t>
      </w:r>
      <w:bookmarkEnd w:id="561"/>
      <w:r>
        <w:rPr>
          <w:rFonts w:hint="eastAsia" w:ascii="Times New Roman" w:hAnsi="Times New Roman" w:cs="仿宋"/>
          <w:kern w:val="0"/>
          <w:szCs w:val="28"/>
        </w:rPr>
        <w:t>。</w:t>
      </w:r>
      <w:bookmarkStart w:id="562" w:name="_Toc55578624"/>
      <w:r>
        <w:rPr>
          <w:rFonts w:hint="eastAsia" w:ascii="Times New Roman" w:hAnsi="Times New Roman" w:cs="仿宋"/>
          <w:kern w:val="0"/>
          <w:szCs w:val="28"/>
        </w:rPr>
        <w:t>加强对水土流失地区、地下水超采地区、生态脆弱地区等综合治理，促进流域生态系统良性循环。加大黑龙江、乌苏里江支流水系保护和综合治理力度，推动中俄界江跨境联动治理，推进乌苏里江堤防工程，实施水土保持、水源涵养区保护、流域防护林建设等水生态系统保护和修复行动，防治水土流失。加快推动两江水系连通，构筑互联互通、互调互补的绿色水网，提升防洪抗旱能力。</w:t>
      </w:r>
    </w:p>
    <w:p>
      <w:pPr>
        <w:adjustRightInd w:val="0"/>
        <w:ind w:firstLine="560"/>
        <w:textAlignment w:val="baseline"/>
        <w:rPr>
          <w:rFonts w:ascii="Times New Roman" w:hAnsi="Times New Roman" w:cs="仿宋"/>
          <w:kern w:val="0"/>
          <w:szCs w:val="28"/>
        </w:rPr>
      </w:pPr>
      <w:r>
        <w:rPr>
          <w:rFonts w:hint="eastAsia" w:ascii="Times New Roman" w:hAnsi="Times New Roman" w:cs="仿宋"/>
          <w:kern w:val="0"/>
          <w:szCs w:val="28"/>
        </w:rPr>
        <w:t>提升生物多样性保护水平</w:t>
      </w:r>
      <w:bookmarkEnd w:id="562"/>
      <w:r>
        <w:rPr>
          <w:rFonts w:hint="eastAsia" w:ascii="Times New Roman" w:hAnsi="Times New Roman" w:cs="仿宋"/>
          <w:kern w:val="0"/>
          <w:szCs w:val="28"/>
        </w:rPr>
        <w:t>。强化黑瞎子岛国家级自然保护区、三江国家级自然保护区内核心区、一般区域分类保护管理，重点保护东方白鹳、大天鹅、丹顶鹤、黑熊等珍稀动物，推进鲟鳇鱼和大马哈鱼繁殖保护基地建设，构建生态廊道和生物多样性保护网络，加快管理站、生态观测站、鸟类环志站、救护繁育中心、野生动物疫源疫病监测站等设施建设，维护好黑瞎子岛和三江湿地自然生态平衡。推动黑瞎子岛联合周边区域纳入东北虎豹国家公园为主体的自然保护地体系，重点保护多样湿地生态系统和野生动植物，提升生物多样性保护水平。建立渔政监督管理站、人工增殖放流站和国家级水产原良种繁育保护基地，推进放流增殖。严厉打击破坏森林资源和野生动物犯罪行为，防止国外有害生物入侵，保护、发展、合理利用野生动植物资源，维护自然生态平衡。</w:t>
      </w:r>
    </w:p>
    <w:p>
      <w:pPr>
        <w:keepNext/>
        <w:keepLines/>
        <w:ind w:firstLine="602"/>
        <w:jc w:val="left"/>
        <w:outlineLvl w:val="1"/>
        <w:rPr>
          <w:rFonts w:ascii="宋体" w:hAnsi="宋体"/>
          <w:b/>
          <w:bCs/>
          <w:color w:val="000000"/>
          <w:sz w:val="30"/>
          <w:szCs w:val="32"/>
        </w:rPr>
      </w:pPr>
      <w:bookmarkStart w:id="563" w:name="_Toc77601240"/>
      <w:bookmarkStart w:id="564" w:name="_Toc77600890"/>
      <w:bookmarkStart w:id="565" w:name="_Toc74642420"/>
      <w:bookmarkStart w:id="566" w:name="_Toc77601422"/>
      <w:r>
        <w:rPr>
          <w:rFonts w:hint="eastAsia" w:ascii="宋体" w:hAnsi="宋体"/>
          <w:b/>
          <w:bCs/>
          <w:color w:val="000000"/>
          <w:sz w:val="30"/>
          <w:szCs w:val="32"/>
        </w:rPr>
        <w:t>（二）生态修复</w:t>
      </w:r>
      <w:bookmarkEnd w:id="563"/>
      <w:bookmarkEnd w:id="564"/>
      <w:bookmarkEnd w:id="565"/>
      <w:bookmarkEnd w:id="566"/>
    </w:p>
    <w:p>
      <w:pPr>
        <w:adjustRightInd w:val="0"/>
        <w:ind w:firstLine="560"/>
        <w:textAlignment w:val="baseline"/>
        <w:rPr>
          <w:rFonts w:ascii="Times New Roman" w:hAnsi="Times New Roman" w:cs="仿宋"/>
          <w:kern w:val="0"/>
          <w:szCs w:val="28"/>
        </w:rPr>
      </w:pPr>
      <w:bookmarkStart w:id="567" w:name="_Toc55578626"/>
      <w:r>
        <w:rPr>
          <w:rFonts w:hint="eastAsia" w:ascii="Times New Roman" w:hAnsi="Times New Roman" w:cs="仿宋"/>
          <w:kern w:val="0"/>
          <w:szCs w:val="28"/>
        </w:rPr>
        <w:t>围绕“蓝天、黑土、碧水”等主要领域环境治理目标，持续开展环境治理攻坚战，持续改善生态环境治理，打造沿边一流环境城市。</w:t>
      </w:r>
    </w:p>
    <w:p>
      <w:pPr>
        <w:adjustRightInd w:val="0"/>
        <w:ind w:firstLine="560"/>
        <w:textAlignment w:val="baseline"/>
        <w:rPr>
          <w:rFonts w:ascii="Times New Roman" w:hAnsi="Times New Roman" w:cs="仿宋"/>
          <w:kern w:val="0"/>
          <w:szCs w:val="28"/>
        </w:rPr>
      </w:pPr>
      <w:r>
        <w:rPr>
          <w:rFonts w:hint="eastAsia" w:ascii="Times New Roman" w:hAnsi="Times New Roman" w:cs="仿宋"/>
          <w:kern w:val="0"/>
          <w:szCs w:val="28"/>
        </w:rPr>
        <w:t>守护一方洁净蓝天</w:t>
      </w:r>
      <w:bookmarkEnd w:id="567"/>
      <w:r>
        <w:rPr>
          <w:rFonts w:hint="eastAsia" w:ascii="Times New Roman" w:hAnsi="Times New Roman" w:cs="仿宋"/>
          <w:kern w:val="0"/>
          <w:szCs w:val="28"/>
        </w:rPr>
        <w:t>。加强重点地区、重点景区散煤污染治理，推进煤改气，全面加强温室气体排放控制，推进热力废气脱硫脱硝、噪声污染企业整改。加强道路、矿山、工地扬尘管理，推动机动车尾气污染管控。严禁秸秆露天焚烧，建立重污染天气应对联防联控机制，采用新技术开拓绿色能源动力系统，天然气等高效与清洁能源。加强室内空气污染等新污染物治理，实施全市范围内实现室内公共场所、室内工作场所和公共交通工具全面禁烟。全面推广安全、节能、可循环利用的绿色建材，支持节能环保型建筑生态景观设计与建设。严格实施旅游行业的环境准入，加强黑瞎子岛内设施的环境监测和管理。到2025年，城市空气质量优良天数比例达到95%以上。</w:t>
      </w:r>
    </w:p>
    <w:p>
      <w:pPr>
        <w:overflowPunct w:val="0"/>
        <w:adjustRightInd w:val="0"/>
        <w:ind w:firstLine="560"/>
        <w:textAlignment w:val="baseline"/>
        <w:rPr>
          <w:rFonts w:ascii="Times New Roman" w:hAnsi="Times New Roman" w:cs="仿宋"/>
          <w:kern w:val="0"/>
          <w:szCs w:val="28"/>
        </w:rPr>
      </w:pPr>
      <w:bookmarkStart w:id="568" w:name="_Toc55578627"/>
      <w:r>
        <w:rPr>
          <w:rFonts w:hint="eastAsia" w:ascii="Times New Roman" w:hAnsi="Times New Roman" w:cs="仿宋"/>
          <w:kern w:val="0"/>
          <w:szCs w:val="28"/>
        </w:rPr>
        <w:t>还原两江碧水清流</w:t>
      </w:r>
      <w:bookmarkEnd w:id="568"/>
      <w:r>
        <w:rPr>
          <w:rFonts w:hint="eastAsia" w:ascii="Times New Roman" w:hAnsi="Times New Roman" w:cs="仿宋"/>
          <w:kern w:val="0"/>
          <w:szCs w:val="28"/>
        </w:rPr>
        <w:t>。加快沿江生态环境整治，推进干流河道清淤疏浚，全面加强内河黑臭水体整治，建立上下游污染治理会商机制，共同开展流域污染防治与保护，恢复和改善水体功能。统筹规划和实施黑瞎子岛周边黑龙江、乌苏里江、抚远水道水资源开发、利用、保护和水害的防治，建立海事防污染应急基地，船舶污染物实行零排放和无害化处理。以沿江公园为重点，开展美丽河湖建设，拓宽两岸现有林带，增加绿量与彩量，提升绿化质量，打造沿岸串珠式水系景观带、快慢滨水交通景观带。保护抚远城市备用水源地，推动生活污水集中处理，垃圾分类回收、日清外运无害化处理。</w:t>
      </w:r>
    </w:p>
    <w:p>
      <w:pPr>
        <w:adjustRightInd w:val="0"/>
        <w:ind w:firstLine="560"/>
        <w:textAlignment w:val="baseline"/>
        <w:rPr>
          <w:rFonts w:ascii="Times New Roman" w:hAnsi="Times New Roman" w:cs="仿宋"/>
          <w:kern w:val="0"/>
          <w:szCs w:val="28"/>
        </w:rPr>
      </w:pPr>
      <w:bookmarkStart w:id="569" w:name="_Toc55578628"/>
      <w:r>
        <w:rPr>
          <w:rFonts w:hint="eastAsia" w:ascii="Times New Roman" w:hAnsi="Times New Roman" w:cs="仿宋"/>
          <w:kern w:val="0"/>
          <w:szCs w:val="28"/>
        </w:rPr>
        <w:t>保护一片寒地黑土</w:t>
      </w:r>
      <w:bookmarkEnd w:id="569"/>
      <w:r>
        <w:rPr>
          <w:rFonts w:hint="eastAsia" w:ascii="Times New Roman" w:hAnsi="Times New Roman" w:cs="仿宋"/>
          <w:kern w:val="0"/>
          <w:szCs w:val="28"/>
        </w:rPr>
        <w:t>。实施黑土耕地保护三年行动计划，推进土壤污染状况详查，实施农用地分类管理，建立农用地土壤环境质量类别清单、建设用地土壤污染修复目录和开发利用负面清单。加强塑料垃圾等白色污染治理，推进农药化肥减量化，加强黑土地利用监管，强化风险管控，重点开展重金属、固体废弃物污染整治，积极引导实施黑土地用养结合的轮作制度，增施有机肥，提高基础地力，切实保护好、利用好“耕地中的大熊猫”。充分挖掘抚远市耕地后备资源潜力，有序开发利用荒草地等未利用地，加大各乡镇补充耕地力度。严格控制建设用地占用耕地，提高耕地开垦费标准，增加耕地占用成本。</w:t>
      </w:r>
    </w:p>
    <w:p>
      <w:pPr>
        <w:pStyle w:val="5"/>
      </w:pPr>
      <w:bookmarkStart w:id="570" w:name="_Toc77349654"/>
      <w:bookmarkStart w:id="571" w:name="_Toc77601241"/>
      <w:bookmarkStart w:id="572" w:name="_Toc1877284459_WPSOffice_Level3"/>
      <w:bookmarkStart w:id="573" w:name="_Toc151424389_WPSOffice_Level3"/>
      <w:bookmarkStart w:id="574" w:name="_Toc16491"/>
      <w:bookmarkStart w:id="575" w:name="_Toc77601423"/>
      <w:r>
        <w:t>五、生态环境风险防范</w:t>
      </w:r>
      <w:bookmarkEnd w:id="570"/>
      <w:bookmarkEnd w:id="571"/>
      <w:bookmarkEnd w:id="572"/>
      <w:bookmarkEnd w:id="573"/>
      <w:bookmarkEnd w:id="574"/>
      <w:bookmarkEnd w:id="575"/>
    </w:p>
    <w:p>
      <w:pPr>
        <w:autoSpaceDE w:val="0"/>
        <w:adjustRightInd w:val="0"/>
        <w:ind w:firstLine="560"/>
        <w:textAlignment w:val="baseline"/>
        <w:rPr>
          <w:rFonts w:ascii="Times New Roman" w:hAnsi="Times New Roman" w:cs="仿宋"/>
          <w:kern w:val="0"/>
          <w:szCs w:val="28"/>
        </w:rPr>
      </w:pPr>
      <w:r>
        <w:rPr>
          <w:rFonts w:hint="eastAsia" w:ascii="Times New Roman" w:hAnsi="Times New Roman" w:cs="仿宋"/>
          <w:kern w:val="0"/>
          <w:szCs w:val="28"/>
        </w:rPr>
        <w:t>生态环境安全作为国家安全的重要组成部分，是经济社会可持续健康发展的重要保障。</w:t>
      </w:r>
      <w:r>
        <w:rPr>
          <w:rFonts w:hint="eastAsia" w:ascii="Times New Roman" w:hAnsi="Times New Roman" w:cs="ËÎÌå"/>
          <w:color w:val="000000"/>
          <w:kern w:val="0"/>
          <w:szCs w:val="28"/>
        </w:rPr>
        <w:t>抚远市应</w:t>
      </w:r>
      <w:r>
        <w:rPr>
          <w:rFonts w:hint="eastAsia" w:ascii="Times New Roman" w:hAnsi="Times New Roman" w:cs="仿宋"/>
          <w:kern w:val="0"/>
          <w:szCs w:val="28"/>
        </w:rPr>
        <w:t>认真做好各项防范工作，完善风险防范体系，这对于解决生态环境问题，规避生态环境风险具有重要的意义。</w:t>
      </w:r>
    </w:p>
    <w:p>
      <w:pPr>
        <w:autoSpaceDE w:val="0"/>
        <w:spacing w:line="600" w:lineRule="exact"/>
        <w:ind w:firstLine="562"/>
        <w:rPr>
          <w:rFonts w:ascii="Times New Roman" w:hAnsi="Times New Roman" w:cs="仿宋"/>
          <w:kern w:val="0"/>
          <w:szCs w:val="28"/>
        </w:rPr>
      </w:pPr>
      <w:r>
        <w:rPr>
          <w:rFonts w:hint="eastAsia" w:ascii="Times New Roman" w:hAnsi="Times New Roman" w:cs="Times New Roman"/>
          <w:b/>
          <w:color w:val="000000" w:themeColor="text1"/>
          <w:szCs w:val="28"/>
          <w14:textFill>
            <w14:solidFill>
              <w14:schemeClr w14:val="tx1"/>
            </w14:solidFill>
          </w14:textFill>
        </w:rPr>
        <w:t>——</w:t>
      </w:r>
      <w:r>
        <w:rPr>
          <w:rFonts w:hint="eastAsia" w:ascii="Times New Roman" w:hAnsi="Times New Roman" w:cs="仿宋"/>
          <w:b/>
          <w:kern w:val="0"/>
          <w:szCs w:val="28"/>
        </w:rPr>
        <w:t>构建和完善生态环境风险评估与论证体系</w:t>
      </w:r>
      <w:r>
        <w:rPr>
          <w:rFonts w:hint="eastAsia" w:ascii="Times New Roman" w:hAnsi="Times New Roman" w:cs="仿宋"/>
          <w:kern w:val="0"/>
          <w:szCs w:val="28"/>
        </w:rPr>
        <w:t>。生态风险评估与论证是防范生态风险的重中之重，也是未来工业化体系转向的前置性课题，优化生态风险评估制度势在必行。生态治理必须有前控性的风险评估机制来支撑生态治理，维护和重建生态系统的统一、生物多样性和恢复能力，使生态风险降至最低点。风险论证是防范环境风险的重要环节，必须遵循生态风险的形成逻辑与治理逻辑。</w:t>
      </w:r>
    </w:p>
    <w:p>
      <w:pPr>
        <w:autoSpaceDE w:val="0"/>
        <w:spacing w:line="600" w:lineRule="exact"/>
        <w:ind w:firstLine="562"/>
        <w:rPr>
          <w:rFonts w:ascii="Times New Roman" w:hAnsi="Times New Roman" w:cs="Times New Roman"/>
          <w:color w:val="000000" w:themeColor="text1"/>
          <w:szCs w:val="28"/>
          <w14:textFill>
            <w14:solidFill>
              <w14:schemeClr w14:val="tx1"/>
            </w14:solidFill>
          </w14:textFill>
        </w:rPr>
      </w:pPr>
      <w:r>
        <w:rPr>
          <w:rFonts w:hint="eastAsia" w:ascii="Times New Roman" w:hAnsi="Times New Roman" w:cs="Times New Roman"/>
          <w:b/>
          <w:color w:val="000000" w:themeColor="text1"/>
          <w:szCs w:val="28"/>
          <w14:textFill>
            <w14:solidFill>
              <w14:schemeClr w14:val="tx1"/>
            </w14:solidFill>
          </w14:textFill>
        </w:rPr>
        <w:t>——加强重点区域生态状况监测预警。</w:t>
      </w:r>
      <w:r>
        <w:rPr>
          <w:rFonts w:hint="eastAsia" w:ascii="Times New Roman" w:hAnsi="Times New Roman" w:cs="Times New Roman"/>
          <w:color w:val="000000" w:themeColor="text1"/>
          <w:szCs w:val="28"/>
          <w14:textFill>
            <w14:solidFill>
              <w14:schemeClr w14:val="tx1"/>
            </w14:solidFill>
          </w14:textFill>
        </w:rPr>
        <w:t>健全自然生态监测评价规程和标准体系，加强水土流失和土地沙化等生态系统受损及退化区域监测预警，开展重要生态脆弱带环境变化监测，推进全县生态保护红线监测专业化运行。</w:t>
      </w:r>
    </w:p>
    <w:p>
      <w:pPr>
        <w:autoSpaceDE w:val="0"/>
        <w:spacing w:line="600" w:lineRule="exact"/>
        <w:ind w:firstLine="562"/>
        <w:rPr>
          <w:rFonts w:ascii="Times New Roman" w:hAnsi="Times New Roman" w:cs="Times New Roman"/>
          <w:color w:val="000000" w:themeColor="text1"/>
          <w:szCs w:val="28"/>
          <w14:textFill>
            <w14:solidFill>
              <w14:schemeClr w14:val="tx1"/>
            </w14:solidFill>
          </w14:textFill>
        </w:rPr>
      </w:pPr>
      <w:r>
        <w:rPr>
          <w:rFonts w:hint="eastAsia" w:ascii="Times New Roman" w:hAnsi="Times New Roman" w:cs="Times New Roman"/>
          <w:b/>
          <w:color w:val="000000" w:themeColor="text1"/>
          <w:szCs w:val="28"/>
          <w14:textFill>
            <w14:solidFill>
              <w14:schemeClr w14:val="tx1"/>
            </w14:solidFill>
          </w14:textFill>
        </w:rPr>
        <w:t>——加强自然灾害防治。</w:t>
      </w:r>
      <w:r>
        <w:rPr>
          <w:rFonts w:hint="eastAsia" w:ascii="Times New Roman" w:hAnsi="Times New Roman" w:cs="Times New Roman"/>
          <w:color w:val="000000" w:themeColor="text1"/>
          <w:szCs w:val="28"/>
          <w14:textFill>
            <w14:solidFill>
              <w14:schemeClr w14:val="tx1"/>
            </w14:solidFill>
          </w14:textFill>
        </w:rPr>
        <w:t>针对自然生态资源关键领域和薄弱环节，建立高效科学的自然灾害防治体系，提高自然灾害防治能力和安全保护保障。定期开展森林火灾、山体滑坡、洪涝灾害等风险调查和重点隐患排查，制定地质灾害和避险移民搬迁处置预案，实施自然灾害监测预警信息化工程建设。</w:t>
      </w:r>
    </w:p>
    <w:p>
      <w:pPr>
        <w:autoSpaceDE w:val="0"/>
        <w:adjustRightInd w:val="0"/>
        <w:ind w:firstLine="562"/>
        <w:textAlignment w:val="baseline"/>
        <w:rPr>
          <w:rFonts w:ascii="Times New Roman" w:hAnsi="Times New Roman" w:cs="仿宋"/>
          <w:kern w:val="0"/>
          <w:szCs w:val="28"/>
        </w:rPr>
      </w:pPr>
      <w:r>
        <w:rPr>
          <w:rFonts w:hint="eastAsia" w:ascii="Times New Roman" w:hAnsi="Times New Roman" w:cs="Times New Roman"/>
          <w:b/>
          <w:color w:val="000000" w:themeColor="text1"/>
          <w:szCs w:val="28"/>
          <w14:textFill>
            <w14:solidFill>
              <w14:schemeClr w14:val="tx1"/>
            </w14:solidFill>
          </w14:textFill>
        </w:rPr>
        <w:t>——</w:t>
      </w:r>
      <w:r>
        <w:rPr>
          <w:rFonts w:hint="eastAsia" w:ascii="Times New Roman" w:hAnsi="Times New Roman" w:cs="仿宋"/>
          <w:b/>
          <w:color w:val="000000" w:themeColor="text1"/>
          <w:kern w:val="0"/>
          <w:szCs w:val="28"/>
          <w14:textFill>
            <w14:solidFill>
              <w14:schemeClr w14:val="tx1"/>
            </w14:solidFill>
          </w14:textFill>
        </w:rPr>
        <w:t>构建和完善生态环境风险评价与惩戒体系</w:t>
      </w:r>
      <w:r>
        <w:rPr>
          <w:rFonts w:hint="eastAsia" w:ascii="Times New Roman" w:hAnsi="Times New Roman" w:cs="仿宋"/>
          <w:color w:val="000000" w:themeColor="text1"/>
          <w:kern w:val="0"/>
          <w:szCs w:val="28"/>
          <w14:textFill>
            <w14:solidFill>
              <w14:schemeClr w14:val="tx1"/>
            </w14:solidFill>
          </w14:textFill>
        </w:rPr>
        <w:t>。</w:t>
      </w:r>
      <w:r>
        <w:rPr>
          <w:rFonts w:hint="eastAsia" w:ascii="Times New Roman" w:hAnsi="Times New Roman" w:cs="仿宋"/>
          <w:kern w:val="0"/>
          <w:szCs w:val="28"/>
        </w:rPr>
        <w:t>科学的风险评价体系与公平的追责机制是防范生态风险的防火墙。风险评价指标既要注重经济效益，又要保障生态权益。风险评价必须全盘考虑有限资源保护与开发的临界点，对治理者政绩进行合理性界定，并终身追责资源的破坏者，为代际资源存留敬畏之心，孕育新的生态资源生长点。既要有所为，又要有所不为，才能实现生态效益的潜在增长，防范不作为、脱责现象发生，杜绝贻误发展时机的思路与做法。同时，强化生态失范行为的惩戒机制，要注意区分破坏生态的阶段性主体责任，严肃追责对造成生态环境损害的干部，实现生态追责的公平正义。为防范终身追责机制的虚设，加强生态事件的问责曝光与宣传，提高惩戒的影响力，增强人们对生态保护的信心，才能保证生态风险事故率的降低。另外，要健全生态损害赔偿制度，保障受害者的权益。</w:t>
      </w:r>
    </w:p>
    <w:p>
      <w:pPr>
        <w:pStyle w:val="4"/>
      </w:pPr>
      <w:bookmarkStart w:id="576" w:name="_Toc77349655"/>
      <w:bookmarkStart w:id="577" w:name="_Toc77601242"/>
      <w:bookmarkStart w:id="578" w:name="_Toc1061941454_WPSOffice_Level2"/>
      <w:bookmarkStart w:id="579" w:name="_Toc7051"/>
      <w:bookmarkStart w:id="580" w:name="_Toc868347179_WPSOffice_Level2"/>
      <w:bookmarkStart w:id="581" w:name="_Toc77600891"/>
      <w:bookmarkStart w:id="582" w:name="_Toc77601424"/>
      <w:bookmarkStart w:id="583" w:name="_Toc74642475"/>
      <w:r>
        <w:t>第</w:t>
      </w:r>
      <w:r>
        <w:rPr>
          <w:rFonts w:hint="eastAsia"/>
        </w:rPr>
        <w:t>四</w:t>
      </w:r>
      <w:r>
        <w:t>节</w:t>
      </w:r>
      <w:r>
        <w:rPr>
          <w:rFonts w:hint="eastAsia"/>
        </w:rPr>
        <w:t xml:space="preserve">  </w:t>
      </w:r>
      <w:r>
        <w:t>生态生活体系建设</w:t>
      </w:r>
      <w:bookmarkEnd w:id="576"/>
      <w:bookmarkEnd w:id="577"/>
      <w:bookmarkEnd w:id="578"/>
      <w:bookmarkEnd w:id="579"/>
      <w:bookmarkEnd w:id="580"/>
      <w:bookmarkEnd w:id="581"/>
      <w:bookmarkEnd w:id="582"/>
    </w:p>
    <w:p>
      <w:pPr>
        <w:pStyle w:val="5"/>
      </w:pPr>
      <w:bookmarkStart w:id="584" w:name="_Toc30095"/>
      <w:bookmarkStart w:id="585" w:name="_Toc77601425"/>
      <w:bookmarkStart w:id="586" w:name="_Toc141576930_WPSOffice_Level3"/>
      <w:bookmarkStart w:id="587" w:name="_Toc1640962311_WPSOffice_Level3"/>
      <w:bookmarkStart w:id="588" w:name="_Toc77349656"/>
      <w:bookmarkStart w:id="589" w:name="_Toc77601243"/>
      <w:r>
        <w:t>一、城乡环境一体化建设</w:t>
      </w:r>
      <w:bookmarkEnd w:id="584"/>
      <w:bookmarkEnd w:id="585"/>
      <w:bookmarkEnd w:id="586"/>
      <w:bookmarkEnd w:id="587"/>
      <w:bookmarkEnd w:id="588"/>
      <w:bookmarkEnd w:id="589"/>
    </w:p>
    <w:p>
      <w:pPr>
        <w:keepNext/>
        <w:keepLines/>
        <w:ind w:firstLine="602"/>
        <w:jc w:val="left"/>
        <w:outlineLvl w:val="1"/>
        <w:rPr>
          <w:rFonts w:ascii="宋体" w:hAnsi="宋体" w:cs="黑体"/>
          <w:b/>
          <w:bCs/>
          <w:color w:val="000000"/>
          <w:sz w:val="30"/>
          <w:szCs w:val="32"/>
        </w:rPr>
      </w:pPr>
      <w:bookmarkStart w:id="590" w:name="_Toc77600892"/>
      <w:bookmarkStart w:id="591" w:name="_Toc77601244"/>
      <w:bookmarkStart w:id="592" w:name="_Toc77601426"/>
      <w:r>
        <w:rPr>
          <w:rFonts w:hint="eastAsia" w:ascii="宋体" w:hAnsi="宋体" w:cs="黑体"/>
          <w:b/>
          <w:bCs/>
          <w:color w:val="000000"/>
          <w:sz w:val="30"/>
          <w:szCs w:val="32"/>
        </w:rPr>
        <w:t>（1）扎实推进污染减排</w:t>
      </w:r>
      <w:bookmarkEnd w:id="583"/>
      <w:bookmarkEnd w:id="590"/>
      <w:bookmarkEnd w:id="591"/>
      <w:bookmarkEnd w:id="592"/>
    </w:p>
    <w:p>
      <w:pPr>
        <w:ind w:firstLine="560"/>
        <w:rPr>
          <w:rFonts w:ascii="Times New Roman" w:hAnsi="Times New Roman"/>
          <w:szCs w:val="28"/>
        </w:rPr>
      </w:pPr>
      <w:r>
        <w:rPr>
          <w:rFonts w:ascii="Times New Roman" w:hAnsi="Times New Roman"/>
          <w:szCs w:val="28"/>
        </w:rPr>
        <w:t>一是以减排工程项目为龙头，积极谋划实施重点减排项目，加大减排任务落实力度。二是强化重点企业污染防治，认真落实减排任务。三是抓好建设项目总量核定、排污许可证发放等措施的落实，推行环境标准化建设和环境信用评价等级评定，抓好清洁生产审核，淘汰落后产能。四是重点加强已建成减排设施的运行监管，提高供热企业脱硫脱硝设施的运行效率和城市生活污水收集率。</w:t>
      </w:r>
    </w:p>
    <w:p>
      <w:pPr>
        <w:keepNext/>
        <w:keepLines/>
        <w:ind w:firstLine="602"/>
        <w:jc w:val="left"/>
        <w:outlineLvl w:val="1"/>
        <w:rPr>
          <w:rFonts w:ascii="宋体" w:hAnsi="宋体" w:cs="黑体"/>
          <w:b/>
          <w:bCs/>
          <w:color w:val="000000"/>
          <w:sz w:val="30"/>
          <w:szCs w:val="32"/>
        </w:rPr>
      </w:pPr>
      <w:bookmarkStart w:id="593" w:name="_Toc77600893"/>
      <w:bookmarkStart w:id="594" w:name="_Toc74642476"/>
      <w:bookmarkStart w:id="595" w:name="_Toc77601427"/>
      <w:bookmarkStart w:id="596" w:name="_Toc77601245"/>
      <w:r>
        <w:rPr>
          <w:rFonts w:hint="eastAsia" w:ascii="宋体" w:hAnsi="宋体" w:cs="黑体"/>
          <w:b/>
          <w:bCs/>
          <w:color w:val="000000"/>
          <w:sz w:val="30"/>
          <w:szCs w:val="32"/>
        </w:rPr>
        <w:t>（2）强化污染全防全控，持续改善环境质量</w:t>
      </w:r>
      <w:bookmarkEnd w:id="593"/>
      <w:bookmarkEnd w:id="594"/>
      <w:bookmarkEnd w:id="595"/>
      <w:bookmarkEnd w:id="596"/>
    </w:p>
    <w:p>
      <w:pPr>
        <w:ind w:firstLine="560"/>
        <w:rPr>
          <w:rFonts w:ascii="Times New Roman" w:hAnsi="Times New Roman"/>
          <w:szCs w:val="28"/>
        </w:rPr>
      </w:pPr>
      <w:r>
        <w:rPr>
          <w:rFonts w:ascii="Times New Roman" w:hAnsi="Times New Roman"/>
          <w:szCs w:val="28"/>
        </w:rPr>
        <w:t>一是进一步加强饮用水源地环境管理，开展好集中式饮用水水源环境状况评估及乡镇集中式饮用水水源地突发环境事件应急预案编制工作，确保城乡居民饮水安全。二是持续抓好水污染治理，完善城镇污水收集管网，加大污水处理厂运行监督管理，促进黑龙江、乌苏里江及其支流水环境质量持续改善。三是聚焦抓好全市大气污染防治。重点围绕扬尘污染、燃煤污染、露天烧烤</w:t>
      </w:r>
      <w:r>
        <w:rPr>
          <w:rFonts w:hint="eastAsia" w:ascii="Times New Roman" w:hAnsi="Times New Roman"/>
          <w:szCs w:val="28"/>
        </w:rPr>
        <w:t>和</w:t>
      </w:r>
      <w:r>
        <w:rPr>
          <w:rFonts w:ascii="Times New Roman" w:hAnsi="Times New Roman"/>
          <w:szCs w:val="28"/>
        </w:rPr>
        <w:t>垃圾焚烧整治等方面，从调整产业结构、严格环境准入、加快设施建设</w:t>
      </w:r>
      <w:r>
        <w:rPr>
          <w:rFonts w:hint="eastAsia" w:ascii="Times New Roman" w:hAnsi="Times New Roman"/>
          <w:szCs w:val="28"/>
        </w:rPr>
        <w:t>方面</w:t>
      </w:r>
      <w:r>
        <w:rPr>
          <w:rFonts w:ascii="Times New Roman" w:hAnsi="Times New Roman"/>
          <w:szCs w:val="28"/>
        </w:rPr>
        <w:t>，坚决打好大气污染防治攻坚战。</w:t>
      </w:r>
    </w:p>
    <w:p>
      <w:pPr>
        <w:keepNext/>
        <w:keepLines/>
        <w:ind w:firstLine="602"/>
        <w:jc w:val="left"/>
        <w:outlineLvl w:val="1"/>
        <w:rPr>
          <w:rFonts w:ascii="宋体" w:hAnsi="宋体" w:cs="黑体"/>
          <w:b/>
          <w:bCs/>
          <w:color w:val="000000"/>
          <w:sz w:val="30"/>
          <w:szCs w:val="32"/>
        </w:rPr>
      </w:pPr>
      <w:bookmarkStart w:id="597" w:name="_Toc77601428"/>
      <w:bookmarkStart w:id="598" w:name="_Toc77600894"/>
      <w:bookmarkStart w:id="599" w:name="_Toc77601246"/>
      <w:bookmarkStart w:id="600" w:name="_Toc74642477"/>
      <w:r>
        <w:rPr>
          <w:rFonts w:hint="eastAsia" w:ascii="宋体" w:hAnsi="宋体" w:cs="黑体"/>
          <w:b/>
          <w:bCs/>
          <w:color w:val="000000"/>
          <w:sz w:val="30"/>
          <w:szCs w:val="32"/>
        </w:rPr>
        <w:t>（3）加强环境保护宣传工作，完善公共参与机制</w:t>
      </w:r>
      <w:bookmarkEnd w:id="597"/>
      <w:bookmarkEnd w:id="598"/>
      <w:bookmarkEnd w:id="599"/>
      <w:bookmarkEnd w:id="600"/>
    </w:p>
    <w:p>
      <w:pPr>
        <w:ind w:firstLine="560"/>
        <w:rPr>
          <w:rFonts w:ascii="Times New Roman" w:hAnsi="Times New Roman"/>
          <w:szCs w:val="28"/>
        </w:rPr>
      </w:pPr>
      <w:r>
        <w:rPr>
          <w:rFonts w:ascii="Times New Roman" w:hAnsi="Times New Roman"/>
          <w:szCs w:val="28"/>
        </w:rPr>
        <w:t>以深化新《环保法》的学习宣传为核心，推动新法进学校、进机关、进企业、进社区、进家庭，利用多种方式加强对企业负责人及环保执法人员的培训，做到知法、敬法、守</w:t>
      </w:r>
      <w:r>
        <w:rPr>
          <w:rFonts w:ascii="宋体" w:hAnsi="宋体"/>
          <w:szCs w:val="28"/>
        </w:rPr>
        <w:t>法、用法。组织开展好“六五”世界环境日为主题的系列环保宣传活动，进一步引导全社会树立正确的绿色价值观，引导各类企业自觉承担社会责任和</w:t>
      </w:r>
      <w:r>
        <w:rPr>
          <w:rFonts w:ascii="Times New Roman" w:hAnsi="Times New Roman"/>
          <w:szCs w:val="28"/>
        </w:rPr>
        <w:t>环保义务，加大环保设施投入，切实增强环境保护的责任感和紧迫感</w:t>
      </w:r>
      <w:r>
        <w:rPr>
          <w:rFonts w:hint="eastAsia" w:ascii="Times New Roman" w:hAnsi="Times New Roman"/>
          <w:szCs w:val="28"/>
        </w:rPr>
        <w:t>。</w:t>
      </w:r>
    </w:p>
    <w:p>
      <w:pPr>
        <w:pStyle w:val="5"/>
      </w:pPr>
      <w:bookmarkStart w:id="601" w:name="_Toc77601247"/>
      <w:bookmarkStart w:id="602" w:name="_Toc77601429"/>
      <w:bookmarkStart w:id="603" w:name="_Toc74642478"/>
      <w:bookmarkStart w:id="604" w:name="_Toc72163768"/>
      <w:bookmarkStart w:id="605" w:name="_Toc73003419"/>
      <w:r>
        <w:rPr>
          <w:rFonts w:hint="eastAsia"/>
        </w:rPr>
        <w:t>二、城镇生态绿地系统</w:t>
      </w:r>
      <w:bookmarkEnd w:id="601"/>
      <w:bookmarkEnd w:id="602"/>
      <w:bookmarkEnd w:id="603"/>
      <w:bookmarkEnd w:id="604"/>
      <w:bookmarkEnd w:id="605"/>
    </w:p>
    <w:p>
      <w:pPr>
        <w:ind w:firstLine="560"/>
        <w:rPr>
          <w:rFonts w:ascii="Times New Roman" w:hAnsi="Times New Roman"/>
          <w:szCs w:val="28"/>
        </w:rPr>
      </w:pPr>
      <w:r>
        <w:rPr>
          <w:rFonts w:hint="eastAsia" w:ascii="Times New Roman" w:hAnsi="Times New Roman"/>
          <w:szCs w:val="28"/>
        </w:rPr>
        <w:t>全力践行“绿水青山就是金山银山”“城市双修”发展理念，扎实整改中央环保督查反馈问题，对环境违法行为“零容忍”，打造山更青、水更绿、天更蓝、城市更宜居的“生态抚远”样板。</w:t>
      </w:r>
    </w:p>
    <w:p>
      <w:pPr>
        <w:ind w:firstLine="560"/>
        <w:rPr>
          <w:rFonts w:ascii="Times New Roman" w:hAnsi="Times New Roman"/>
          <w:szCs w:val="28"/>
        </w:rPr>
      </w:pPr>
      <w:r>
        <w:rPr>
          <w:rFonts w:hint="eastAsia" w:ascii="Times New Roman" w:hAnsi="Times New Roman"/>
          <w:szCs w:val="28"/>
        </w:rPr>
        <w:t>坚持改革创新，绿色发展。坚持创新驱动，强化科技创新引领作用，明确生态就是资源、生态就是生产力，统筹污染防治和生态保护，积极推动低碳循环发展和新能源的开发利用，推进经济绿色转型，使社会经济发展与环境保护协调、人与自然和谐，为全省可持续发展留足空间。创新环境治理理念和方式，改革生态环境治理制度，加快形成系统完善的生态环境建设指标体系。强化科技创新推动作用，为生态环境治理注入强大动力。把生态建设和生态资源保护放在突出位置，坚持污染防治、污染减排和生态保护并重，系统保护抚远市生态环境和资源，加快资源节约型、环境友好型小康社会的建设。（滨江公园景观带、抚远市鱼文化博览馆项目、黑瞎子岛湿地保护修复工程）</w:t>
      </w:r>
    </w:p>
    <w:p>
      <w:pPr>
        <w:ind w:firstLine="560"/>
        <w:rPr>
          <w:rFonts w:ascii="Times New Roman" w:hAnsi="Times New Roman"/>
          <w:szCs w:val="28"/>
        </w:rPr>
      </w:pPr>
      <w:r>
        <w:rPr>
          <w:rFonts w:hint="eastAsia" w:ascii="Times New Roman" w:hAnsi="Times New Roman"/>
          <w:szCs w:val="28"/>
        </w:rPr>
        <w:t>加强城镇、村屯绿化，建设森林城市、宜居乡村。继续提质沿江、沿路绿带，建设好乡镇、村屯内附属绿地，努力提高绿化覆盖率，形成融山、水、林、园、家为一体，乔、灌、草相结合的农村绿地系统。从2016年开始，抚远市加大村屯绿化建设力度，规划</w:t>
      </w:r>
      <w:r>
        <w:rPr>
          <w:rFonts w:ascii="Times New Roman" w:hAnsi="Times New Roman" w:cs="Times New Roman"/>
          <w:szCs w:val="28"/>
        </w:rPr>
        <w:t>2016-2020</w:t>
      </w:r>
      <w:r>
        <w:rPr>
          <w:rFonts w:hint="eastAsia" w:ascii="Times New Roman" w:hAnsi="Times New Roman"/>
          <w:szCs w:val="28"/>
        </w:rPr>
        <w:t>年五年间，结合本地实际情况，在原有村屯绿化的基础上，按照先易后难，梯次推进的原则，高标准、高质量完善、提升全市61个绿化标准较低的行政村的村屯绿化建设，每个村屯投入40-60万元，项目总投资3400万元。项目以护村林和街道绿化为重点，努力搞好“四旁”绿化美化，大力营造高标准护村林带，建设“小花园”、“小果园”、“小绿地”，因地制宜地实现村屯绿化美化，实现景观美化、经济增效、生态防护的建设目标。</w:t>
      </w:r>
    </w:p>
    <w:p>
      <w:pPr>
        <w:pStyle w:val="5"/>
      </w:pPr>
      <w:bookmarkStart w:id="606" w:name="_Toc72163769"/>
      <w:bookmarkStart w:id="607" w:name="_Toc77601248"/>
      <w:bookmarkStart w:id="608" w:name="_Toc74642479"/>
      <w:bookmarkStart w:id="609" w:name="_Toc77601430"/>
      <w:bookmarkStart w:id="610" w:name="_Toc73003420"/>
      <w:r>
        <w:rPr>
          <w:rFonts w:hint="eastAsia"/>
        </w:rPr>
        <w:t>三、农业农村环境综合整治</w:t>
      </w:r>
      <w:bookmarkEnd w:id="606"/>
      <w:bookmarkEnd w:id="607"/>
      <w:bookmarkEnd w:id="608"/>
      <w:bookmarkEnd w:id="609"/>
      <w:bookmarkEnd w:id="610"/>
    </w:p>
    <w:p>
      <w:pPr>
        <w:ind w:firstLine="560"/>
        <w:rPr>
          <w:rFonts w:ascii="宋体" w:hAnsi="宋体"/>
          <w:szCs w:val="28"/>
        </w:rPr>
      </w:pPr>
      <w:r>
        <w:rPr>
          <w:rFonts w:ascii="Times New Roman" w:hAnsi="Times New Roman"/>
          <w:szCs w:val="28"/>
        </w:rPr>
        <w:t>继续推</w:t>
      </w:r>
      <w:r>
        <w:rPr>
          <w:rFonts w:ascii="宋体" w:hAnsi="宋体"/>
          <w:szCs w:val="28"/>
        </w:rPr>
        <w:t>进农村环境综合整治，深化“以奖促治”政策，以重要饮用水水源地周边村庄及“问题村”为重点，推进新一轮农村环境连片整治。逐步推行农村生活垃圾“村收集、镇转运、就地资源化”。持续推进“问题村”排查与治理。继续实施农村清洁工程，开展河道清淤疏浚。</w:t>
      </w:r>
    </w:p>
    <w:p>
      <w:pPr>
        <w:ind w:firstLine="560"/>
        <w:rPr>
          <w:rFonts w:ascii="Times New Roman" w:hAnsi="Times New Roman"/>
          <w:szCs w:val="28"/>
        </w:rPr>
      </w:pPr>
      <w:r>
        <w:rPr>
          <w:rFonts w:ascii="Times New Roman" w:hAnsi="Times New Roman"/>
          <w:szCs w:val="28"/>
        </w:rPr>
        <w:t>继续强化治理畜禽养殖污染，加强畜禽养殖环境监管。进一步提高规模化养殖比例，统一建立污染治理设施，有效改善农村生产生活环境。继续强化规模化畜禽养殖场的污染治理，加快推进规模化养殖场排污申报登记和排污许可证制度，积极推广农牧结合、沼气化资源循环利用等生态养殖模式。大力开展规模以下养殖户和散养户的污染整治。各级政府应根据畜禽养殖禁养区划定方案制定畜禽养殖场（小区、专业户）整顿方案，并于2018年底前完成清理整顿。加大政策扶持力度，细化和落实资金补贴规定，推进畜禽粪便肥料化、能源化和饲料化，提高畜禽养殖废弃物资源化利用比例。</w:t>
      </w:r>
    </w:p>
    <w:p>
      <w:pPr>
        <w:ind w:firstLine="560"/>
        <w:rPr>
          <w:rFonts w:ascii="Times New Roman" w:hAnsi="Times New Roman"/>
          <w:szCs w:val="28"/>
        </w:rPr>
      </w:pPr>
      <w:r>
        <w:rPr>
          <w:rFonts w:ascii="Times New Roman" w:hAnsi="Times New Roman"/>
          <w:szCs w:val="28"/>
        </w:rPr>
        <w:t>推进畜禽养殖污染减排工程建设。以规模化畜禽养殖场污染防治为重点，推进畜禽养殖全过程综合治理、各类治污设施建设或升级改造、改进养殖方式和提高规模化养殖场（小区）管理水平，实施污染减排。现有规模化畜禽养殖场（小区）配套建设粪便污水贮存、处理、利用等设施；散养密集区内实行畜禽粪便污水分户收集、集中处理利用。新建、改建、扩建规模化畜禽养殖场（小区）实施雨污分流、粪便污水资源化利用，配套建设废弃物处理利用设施。</w:t>
      </w:r>
    </w:p>
    <w:p>
      <w:pPr>
        <w:ind w:firstLine="560"/>
        <w:rPr>
          <w:rFonts w:ascii="Times New Roman" w:hAnsi="Times New Roman"/>
          <w:szCs w:val="28"/>
        </w:rPr>
      </w:pPr>
      <w:r>
        <w:rPr>
          <w:rFonts w:ascii="Times New Roman" w:hAnsi="Times New Roman"/>
          <w:szCs w:val="28"/>
        </w:rPr>
        <w:t>统筹城乡环境保护，积极建设生态文明。认真抓好农村生活污水、生活垃圾综合整治工程的实施；积极推进国家级生态市的验收工作，逐步完善农村环保工作长效机制，采取集中整治、长期保洁等切实可行的措施，抓好农村环境综合整治；尝试开展农村面源污染治理，着力抓好规模化畜禽养殖污染防治，推进畜禽养殖业废弃物无害化、减量化、资源化处理。推动农村环境保护工作深入开展，力促农村生态环境的持续改善</w:t>
      </w:r>
      <w:r>
        <w:rPr>
          <w:rFonts w:hint="eastAsia" w:ascii="Times New Roman" w:hAnsi="Times New Roman"/>
          <w:szCs w:val="28"/>
        </w:rPr>
        <w:t>。</w:t>
      </w:r>
    </w:p>
    <w:p>
      <w:pPr>
        <w:pStyle w:val="5"/>
      </w:pPr>
      <w:bookmarkStart w:id="611" w:name="_Toc77601431"/>
      <w:bookmarkStart w:id="612" w:name="_Toc72163770"/>
      <w:bookmarkStart w:id="613" w:name="_Toc74642480"/>
      <w:bookmarkStart w:id="614" w:name="_Toc73003421"/>
      <w:bookmarkStart w:id="615" w:name="_Toc77601249"/>
      <w:r>
        <w:rPr>
          <w:rFonts w:hint="eastAsia"/>
        </w:rPr>
        <w:t>四、绿色生活方式</w:t>
      </w:r>
      <w:bookmarkEnd w:id="611"/>
      <w:bookmarkEnd w:id="612"/>
      <w:bookmarkEnd w:id="613"/>
      <w:bookmarkEnd w:id="614"/>
      <w:bookmarkEnd w:id="615"/>
    </w:p>
    <w:p>
      <w:pPr>
        <w:ind w:firstLine="560"/>
        <w:rPr>
          <w:rFonts w:ascii="Times New Roman" w:hAnsi="Times New Roman"/>
          <w:szCs w:val="28"/>
        </w:rPr>
      </w:pPr>
      <w:r>
        <w:rPr>
          <w:rFonts w:ascii="Times New Roman" w:hAnsi="Times New Roman"/>
          <w:szCs w:val="28"/>
        </w:rPr>
        <w:t>把保障和改善民生放在首位，多渠道筹集资金，全力办好民生实事。在保持原来城镇绿色建筑的基础上，依据指标继续增加。继续对城镇生活垃圾分类实行减量化行动，生活垃圾采用集中收集储运的方式。</w:t>
      </w:r>
    </w:p>
    <w:p>
      <w:pPr>
        <w:ind w:firstLine="560"/>
        <w:rPr>
          <w:rFonts w:ascii="Times New Roman" w:hAnsi="Times New Roman"/>
          <w:szCs w:val="28"/>
        </w:rPr>
      </w:pPr>
      <w:r>
        <w:rPr>
          <w:rFonts w:ascii="Times New Roman" w:hAnsi="Times New Roman"/>
          <w:szCs w:val="28"/>
        </w:rPr>
        <w:t>全力推进四好农村路、公路安全生命防护工程，完成已认定农村公路危桥改造任务和前哨农场至浓桥段公路大修工程，确保群众出行安全畅通。</w:t>
      </w:r>
    </w:p>
    <w:p>
      <w:pPr>
        <w:ind w:firstLine="560"/>
        <w:rPr>
          <w:rFonts w:ascii="Times New Roman" w:hAnsi="Times New Roman"/>
          <w:szCs w:val="28"/>
        </w:rPr>
      </w:pPr>
      <w:r>
        <w:rPr>
          <w:rFonts w:ascii="Times New Roman" w:hAnsi="Times New Roman"/>
          <w:szCs w:val="28"/>
        </w:rPr>
        <w:t>完成原垃圾场填埋整治，完善城市污水管网建设，切实改善城市人居环境。完成残疾人康复中心建设，切实方便残疾人就近康复，减轻负担。完成滨江公园、南山公园一期工程建设，继续推进全民健身中心建设，满足广大市民休闲健身娱乐需要。完成实验学校一期工程建设，切实优化城区学校网点规划布局</w:t>
      </w:r>
      <w:r>
        <w:rPr>
          <w:rFonts w:hint="eastAsia" w:ascii="Times New Roman" w:hAnsi="Times New Roman"/>
          <w:szCs w:val="28"/>
        </w:rPr>
        <w:t>。</w:t>
      </w:r>
    </w:p>
    <w:p>
      <w:pPr>
        <w:pStyle w:val="4"/>
      </w:pPr>
      <w:bookmarkStart w:id="616" w:name="_Toc77349660"/>
      <w:bookmarkStart w:id="617" w:name="_Toc313427161_WPSOffice_Level2"/>
      <w:bookmarkStart w:id="618" w:name="_Toc77601250"/>
      <w:bookmarkStart w:id="619" w:name="_Toc24280"/>
      <w:bookmarkStart w:id="620" w:name="_Toc77601432"/>
      <w:bookmarkStart w:id="621" w:name="_Toc77600895"/>
      <w:bookmarkStart w:id="622" w:name="_Toc12172441_WPSOffice_Level2"/>
      <w:r>
        <w:rPr>
          <w:rFonts w:hint="eastAsia"/>
        </w:rPr>
        <w:t xml:space="preserve">第五节 </w:t>
      </w:r>
      <w:r>
        <w:t>生态文化体系建设</w:t>
      </w:r>
      <w:bookmarkEnd w:id="616"/>
      <w:bookmarkEnd w:id="617"/>
      <w:bookmarkEnd w:id="618"/>
      <w:bookmarkEnd w:id="619"/>
      <w:bookmarkEnd w:id="620"/>
      <w:bookmarkEnd w:id="621"/>
      <w:bookmarkEnd w:id="622"/>
    </w:p>
    <w:p>
      <w:pPr>
        <w:pStyle w:val="5"/>
      </w:pPr>
      <w:bookmarkStart w:id="623" w:name="_Toc77601251"/>
      <w:bookmarkStart w:id="624" w:name="_Toc77601433"/>
      <w:bookmarkStart w:id="625" w:name="_Toc1712"/>
      <w:bookmarkStart w:id="626" w:name="_Toc308016210_WPSOffice_Level3"/>
      <w:bookmarkStart w:id="627" w:name="_Toc723004416_WPSOffice_Level3"/>
      <w:bookmarkStart w:id="628" w:name="_Toc77349663"/>
      <w:r>
        <w:rPr>
          <w:rFonts w:hint="eastAsia"/>
        </w:rPr>
        <w:t>一</w:t>
      </w:r>
      <w:r>
        <w:t>、规划方案</w:t>
      </w:r>
      <w:bookmarkEnd w:id="623"/>
      <w:bookmarkEnd w:id="624"/>
      <w:bookmarkEnd w:id="625"/>
      <w:bookmarkEnd w:id="626"/>
      <w:bookmarkEnd w:id="627"/>
      <w:bookmarkEnd w:id="628"/>
    </w:p>
    <w:p>
      <w:pPr>
        <w:pStyle w:val="3"/>
        <w:spacing w:line="360" w:lineRule="auto"/>
        <w:ind w:firstLine="602" w:firstLineChars="200"/>
        <w:jc w:val="both"/>
        <w:rPr>
          <w:rFonts w:ascii="宋体" w:hAnsi="宋体" w:cs="黑体"/>
          <w:sz w:val="30"/>
          <w:szCs w:val="30"/>
        </w:rPr>
      </w:pPr>
      <w:bookmarkStart w:id="629" w:name="_Toc74642482"/>
      <w:bookmarkStart w:id="630" w:name="_Toc77601252"/>
      <w:bookmarkStart w:id="631" w:name="_Toc77601434"/>
      <w:bookmarkStart w:id="632" w:name="_Toc77600896"/>
      <w:r>
        <w:rPr>
          <w:rFonts w:hint="eastAsia" w:ascii="宋体" w:hAnsi="宋体" w:cs="黑体"/>
          <w:sz w:val="30"/>
          <w:szCs w:val="30"/>
        </w:rPr>
        <w:t>（一）生态文明意识提升</w:t>
      </w:r>
      <w:bookmarkEnd w:id="629"/>
      <w:bookmarkEnd w:id="630"/>
      <w:bookmarkEnd w:id="631"/>
      <w:bookmarkEnd w:id="632"/>
    </w:p>
    <w:p>
      <w:pPr>
        <w:ind w:firstLine="560"/>
        <w:rPr>
          <w:rFonts w:ascii="Times New Roman" w:hAnsi="Times New Roman" w:cs="Times New Roman"/>
          <w:szCs w:val="28"/>
        </w:rPr>
      </w:pPr>
      <w:r>
        <w:rPr>
          <w:rFonts w:ascii="Times New Roman" w:hAnsi="Times New Roman" w:cs="Times New Roman"/>
          <w:szCs w:val="28"/>
        </w:rPr>
        <w:t>生态文明意识的提升十分重要，这是一个长期渐进的过程，需要社会各方面的不懈努力，需要采取多种措施不断加大宣传力度，在全社会大力普及和提升生态文明理念</w:t>
      </w:r>
      <w:r>
        <w:rPr>
          <w:rFonts w:hint="eastAsia" w:ascii="Times New Roman" w:hAnsi="Times New Roman" w:cs="Times New Roman"/>
          <w:szCs w:val="28"/>
        </w:rPr>
        <w:t>，</w:t>
      </w:r>
      <w:r>
        <w:rPr>
          <w:rFonts w:ascii="Times New Roman" w:hAnsi="Times New Roman" w:cs="Times New Roman"/>
          <w:szCs w:val="28"/>
        </w:rPr>
        <w:t>把生态文明建设融入到社会的各个领域，引导公众自觉参与生态文明建设。全面开展生态教育，将生态文化知识和生态意识教育纳入国民教育和基础教育体系</w:t>
      </w:r>
      <w:r>
        <w:rPr>
          <w:rFonts w:hint="eastAsia" w:ascii="Times New Roman" w:hAnsi="Times New Roman" w:cs="Times New Roman"/>
          <w:szCs w:val="28"/>
        </w:rPr>
        <w:t>，使生态文明的理念深入人心，构建人人参与、个个有责的全社会生态文明建设体系。</w:t>
      </w:r>
    </w:p>
    <w:p>
      <w:pPr>
        <w:pStyle w:val="3"/>
        <w:spacing w:line="360" w:lineRule="auto"/>
        <w:ind w:firstLine="602" w:firstLineChars="200"/>
        <w:jc w:val="both"/>
        <w:rPr>
          <w:rFonts w:ascii="宋体" w:hAnsi="宋体"/>
        </w:rPr>
      </w:pPr>
      <w:bookmarkStart w:id="633" w:name="_Toc77601253"/>
      <w:bookmarkStart w:id="634" w:name="_Toc77600897"/>
      <w:bookmarkStart w:id="635" w:name="_Toc77601435"/>
      <w:bookmarkStart w:id="636" w:name="_Toc74642483"/>
      <w:r>
        <w:rPr>
          <w:rFonts w:hint="eastAsia" w:ascii="宋体" w:hAnsi="宋体" w:cs="黑体"/>
          <w:sz w:val="30"/>
          <w:szCs w:val="30"/>
        </w:rPr>
        <w:t>（二）生态文明宣传教育</w:t>
      </w:r>
      <w:bookmarkEnd w:id="633"/>
      <w:bookmarkEnd w:id="634"/>
      <w:bookmarkEnd w:id="635"/>
      <w:bookmarkEnd w:id="636"/>
    </w:p>
    <w:p>
      <w:pPr>
        <w:keepNext/>
        <w:keepLines/>
        <w:ind w:firstLine="602"/>
        <w:jc w:val="left"/>
        <w:outlineLvl w:val="1"/>
        <w:rPr>
          <w:rFonts w:ascii="宋体" w:hAnsi="宋体" w:cs="黑体"/>
          <w:b/>
          <w:bCs/>
          <w:color w:val="000000"/>
          <w:sz w:val="30"/>
          <w:szCs w:val="32"/>
        </w:rPr>
      </w:pPr>
      <w:bookmarkStart w:id="637" w:name="_Toc77601254"/>
      <w:bookmarkStart w:id="638" w:name="_Toc77600898"/>
      <w:bookmarkStart w:id="639" w:name="_Toc77601436"/>
      <w:bookmarkStart w:id="640" w:name="_Toc74642484"/>
      <w:r>
        <w:rPr>
          <w:rFonts w:hint="eastAsia" w:ascii="宋体" w:hAnsi="宋体" w:cs="黑体"/>
          <w:b/>
          <w:bCs/>
          <w:color w:val="000000"/>
          <w:sz w:val="30"/>
          <w:szCs w:val="32"/>
        </w:rPr>
        <w:t>（1）积极开展生态环境保护宣传</w:t>
      </w:r>
      <w:bookmarkEnd w:id="637"/>
      <w:bookmarkEnd w:id="638"/>
      <w:bookmarkEnd w:id="639"/>
      <w:bookmarkEnd w:id="640"/>
    </w:p>
    <w:p>
      <w:pPr>
        <w:ind w:firstLine="560"/>
        <w:rPr>
          <w:rFonts w:ascii="Times New Roman" w:hAnsi="Times New Roman" w:cs="Times New Roman"/>
          <w:szCs w:val="28"/>
        </w:rPr>
      </w:pPr>
      <w:r>
        <w:rPr>
          <w:rFonts w:hint="eastAsia" w:ascii="Times New Roman" w:hAnsi="Times New Roman" w:cs="Times New Roman"/>
          <w:szCs w:val="28"/>
        </w:rPr>
        <w:t>在抚远市生态文明建设中，政府应积极引导，群众应广泛参与，社会力量应推动，通过开展形式多样、丰富多彩的生态宣传，将生态文明的理念渗透到政府决策、企业行为、社会公众中去，生态文明观念基本得到重视与普及，初步树立全民生态文明意识。</w:t>
      </w:r>
    </w:p>
    <w:p>
      <w:pPr>
        <w:ind w:firstLine="560"/>
        <w:rPr>
          <w:rFonts w:ascii="Times New Roman" w:hAnsi="Times New Roman" w:cs="Times New Roman"/>
          <w:szCs w:val="28"/>
        </w:rPr>
      </w:pPr>
      <w:r>
        <w:rPr>
          <w:rFonts w:hint="eastAsia" w:ascii="Times New Roman" w:hAnsi="Times New Roman" w:cs="Times New Roman"/>
          <w:szCs w:val="28"/>
        </w:rPr>
        <w:t>建设抚远市生态文明宣传网络，由政府主管部门领导，广泛吸收环保志愿组织、民间环保组织参与管理和建设，积极支持和鼓励民间环保组织以此为平台，组织和宣传环保公益活动，充分发挥网络平台开放性和时效性强的特点，加强对生态文明建设的监督、信息公开和调查研究，使其成为抚远市生态文明建设的综合信息平台。</w:t>
      </w:r>
    </w:p>
    <w:p>
      <w:pPr>
        <w:ind w:firstLine="560"/>
        <w:rPr>
          <w:rFonts w:ascii="Times New Roman" w:hAnsi="Times New Roman" w:cs="Times New Roman"/>
          <w:szCs w:val="28"/>
        </w:rPr>
      </w:pPr>
      <w:r>
        <w:rPr>
          <w:rFonts w:hint="eastAsia" w:ascii="Times New Roman" w:hAnsi="Times New Roman" w:cs="Times New Roman"/>
          <w:szCs w:val="28"/>
        </w:rPr>
        <w:t>充分利用电视、广播、报刊、网络等大众媒体，综合运用系列报道、新闻特写、纪实短片等多种报道形式，发挥各自优点，加强对社会普遍关注的生态环境热点问题的舆论引导。充分发挥各类宣传栏的作用，特别是在农村和社区，利用已有和新设置的宣传栏，张贴生态文明建设有关措施及成果经验介绍、生态文明建设先进事迹、节水节电小常识等简报。</w:t>
      </w:r>
    </w:p>
    <w:p>
      <w:pPr>
        <w:keepNext/>
        <w:keepLines/>
        <w:ind w:firstLine="602"/>
        <w:jc w:val="left"/>
        <w:outlineLvl w:val="1"/>
        <w:rPr>
          <w:rFonts w:ascii="宋体" w:hAnsi="宋体" w:cs="黑体"/>
          <w:b/>
          <w:bCs/>
          <w:color w:val="000000"/>
          <w:sz w:val="30"/>
          <w:szCs w:val="32"/>
        </w:rPr>
      </w:pPr>
      <w:bookmarkStart w:id="641" w:name="_Toc77601437"/>
      <w:bookmarkStart w:id="642" w:name="_Toc74642485"/>
      <w:bookmarkStart w:id="643" w:name="_Toc77600899"/>
      <w:bookmarkStart w:id="644" w:name="_Toc77601255"/>
      <w:r>
        <w:rPr>
          <w:rFonts w:hint="eastAsia" w:ascii="宋体" w:hAnsi="宋体" w:cs="黑体"/>
          <w:b/>
          <w:bCs/>
          <w:color w:val="000000"/>
          <w:sz w:val="30"/>
          <w:szCs w:val="32"/>
        </w:rPr>
        <w:t>（2）全方位的开展生态文明教育</w:t>
      </w:r>
      <w:bookmarkEnd w:id="641"/>
      <w:bookmarkEnd w:id="642"/>
      <w:bookmarkEnd w:id="643"/>
      <w:bookmarkEnd w:id="644"/>
    </w:p>
    <w:p>
      <w:pPr>
        <w:ind w:firstLine="560"/>
        <w:rPr>
          <w:rFonts w:ascii="Times New Roman" w:hAnsi="Times New Roman" w:cs="Times New Roman"/>
          <w:szCs w:val="28"/>
        </w:rPr>
      </w:pPr>
      <w:r>
        <w:rPr>
          <w:rFonts w:hint="eastAsia" w:ascii="Times New Roman" w:hAnsi="Times New Roman" w:cs="Times New Roman"/>
          <w:szCs w:val="28"/>
        </w:rPr>
        <w:t>生态教育是普及全民生态科学知识、提高全民生态文化素质、塑造城市生态文明的根本途径，对推进抚远市生态文明建设具有重大意义。牢固树立人们的生态文明意识，必须首先坚持不懈地实行生态教育，通过各种潜移默化的教育方式传播生态文化、生态理念、生态环保知识以及生态行为选择等生态科学知识，创建生态文化区域，促进公众传统行文方式及价值观念逐步向亲近自然、环境友好、资源高效、自然和谐的生态文化转变。</w:t>
      </w:r>
    </w:p>
    <w:p>
      <w:pPr>
        <w:ind w:firstLine="560"/>
        <w:rPr>
          <w:rFonts w:ascii="Times New Roman" w:hAnsi="Times New Roman" w:cs="Times New Roman"/>
          <w:szCs w:val="28"/>
        </w:rPr>
      </w:pPr>
      <w:r>
        <w:rPr>
          <w:rFonts w:hint="eastAsia" w:ascii="Times New Roman" w:hAnsi="Times New Roman" w:cs="Times New Roman"/>
          <w:szCs w:val="28"/>
        </w:rPr>
        <w:t>重视领导干部生态文明教育培训，</w:t>
      </w:r>
      <w:r>
        <w:rPr>
          <w:rFonts w:ascii="Times New Roman" w:hAnsi="Times New Roman" w:cs="Times New Roman"/>
          <w:szCs w:val="28"/>
        </w:rPr>
        <w:t>将生态文明教育培训作为深入学习实践科学发展观的重要内容，办好领导干部的生态文明培训、环保法律法规政策培训、重点排污企业负责人培训，对各级领导干部进行系统性的生态文明理论知识教育，特别是要加强对基层干部的生态文明教育培训。</w:t>
      </w:r>
    </w:p>
    <w:p>
      <w:pPr>
        <w:pStyle w:val="3"/>
        <w:spacing w:line="360" w:lineRule="auto"/>
        <w:ind w:firstLine="602" w:firstLineChars="200"/>
        <w:jc w:val="both"/>
        <w:rPr>
          <w:rFonts w:ascii="宋体" w:hAnsi="宋体" w:cs="黑体"/>
          <w:sz w:val="30"/>
          <w:szCs w:val="30"/>
        </w:rPr>
      </w:pPr>
      <w:bookmarkStart w:id="645" w:name="_Toc74642486"/>
      <w:bookmarkStart w:id="646" w:name="_Toc77600900"/>
      <w:bookmarkStart w:id="647" w:name="_Toc77601256"/>
      <w:bookmarkStart w:id="648" w:name="_Toc77601438"/>
      <w:r>
        <w:rPr>
          <w:rFonts w:hint="eastAsia" w:ascii="宋体" w:hAnsi="宋体" w:cs="黑体"/>
          <w:sz w:val="30"/>
          <w:szCs w:val="30"/>
        </w:rPr>
        <w:t>（三）生态文明共建共享</w:t>
      </w:r>
      <w:bookmarkEnd w:id="645"/>
      <w:bookmarkEnd w:id="646"/>
      <w:bookmarkEnd w:id="647"/>
      <w:bookmarkEnd w:id="648"/>
    </w:p>
    <w:p>
      <w:pPr>
        <w:ind w:firstLine="560"/>
        <w:rPr>
          <w:rFonts w:ascii="Times New Roman" w:hAnsi="Times New Roman" w:cs="Times New Roman"/>
          <w:szCs w:val="28"/>
        </w:rPr>
      </w:pPr>
      <w:r>
        <w:rPr>
          <w:rFonts w:hint="eastAsia" w:ascii="Times New Roman" w:hAnsi="Times New Roman" w:cs="Times New Roman"/>
          <w:szCs w:val="28"/>
        </w:rPr>
        <w:t>充分发挥工会、共青团、妇联、科协等群团组织的作用，广泛开展生态文明公益活动，积极引导、培育和扶持环保社会组织健康有序发展。设立生态文明建设观察员和公众论坛，引导环保志愿者和社会公众扎实有效推进生态公益活动。建立完善环境信息公开制度、违法行为有奖举报制度、典型环境违法公开制度、政府重大决策听证制度等，拓宽群众监督渠道，广泛听取意见、汇聚民智，建立政府部门与公众、企业有效沟通的环保协调机制，维护公众行使知情权、参与权和监督权。到</w:t>
      </w:r>
      <w:r>
        <w:rPr>
          <w:rFonts w:ascii="Times New Roman" w:hAnsi="Times New Roman" w:cs="Times New Roman"/>
          <w:szCs w:val="28"/>
        </w:rPr>
        <w:t>2021年，环境信息公开率</w:t>
      </w:r>
      <w:r>
        <w:rPr>
          <w:rFonts w:hint="eastAsia" w:ascii="Times New Roman" w:hAnsi="Times New Roman" w:cs="Times New Roman"/>
          <w:szCs w:val="28"/>
        </w:rPr>
        <w:t>达</w:t>
      </w:r>
      <w:r>
        <w:rPr>
          <w:rFonts w:ascii="Times New Roman" w:hAnsi="Times New Roman" w:cs="Times New Roman"/>
          <w:szCs w:val="28"/>
        </w:rPr>
        <w:t>100%，公众对生态文明建设的满意度达90%。</w:t>
      </w:r>
      <w:r>
        <w:rPr>
          <w:rFonts w:hint="eastAsia" w:ascii="Times New Roman" w:hAnsi="Times New Roman" w:cs="Times New Roman"/>
          <w:szCs w:val="28"/>
        </w:rPr>
        <w:t>培育环保社团、环保民办非企业单位等为社会提供环境公益服务的非营利性社会组织。加强生态环境部门与环保社会组织之间的沟通与合作，形成积极互动、相互支持、密切配合的局面。</w:t>
      </w:r>
    </w:p>
    <w:p>
      <w:pPr>
        <w:pStyle w:val="3"/>
        <w:spacing w:line="360" w:lineRule="auto"/>
        <w:ind w:firstLine="602" w:firstLineChars="200"/>
        <w:jc w:val="both"/>
        <w:rPr>
          <w:rFonts w:ascii="宋体" w:hAnsi="宋体" w:cs="黑体"/>
          <w:sz w:val="30"/>
          <w:szCs w:val="30"/>
        </w:rPr>
      </w:pPr>
      <w:bookmarkStart w:id="649" w:name="_Toc77600901"/>
      <w:bookmarkStart w:id="650" w:name="_Toc77601257"/>
      <w:bookmarkStart w:id="651" w:name="_Toc77601439"/>
      <w:bookmarkStart w:id="652" w:name="_Toc74642487"/>
      <w:r>
        <w:rPr>
          <w:rFonts w:hint="eastAsia" w:ascii="宋体" w:hAnsi="宋体" w:cs="黑体"/>
          <w:sz w:val="30"/>
          <w:szCs w:val="30"/>
        </w:rPr>
        <w:t>（四）生态文化工程建设</w:t>
      </w:r>
      <w:bookmarkEnd w:id="649"/>
      <w:bookmarkEnd w:id="650"/>
      <w:bookmarkEnd w:id="651"/>
      <w:bookmarkEnd w:id="652"/>
    </w:p>
    <w:p>
      <w:pPr>
        <w:keepNext/>
        <w:keepLines/>
        <w:ind w:firstLine="602"/>
        <w:jc w:val="left"/>
        <w:outlineLvl w:val="1"/>
        <w:rPr>
          <w:rFonts w:ascii="宋体" w:hAnsi="宋体" w:cs="黑体"/>
          <w:b/>
          <w:bCs/>
          <w:color w:val="000000"/>
          <w:sz w:val="30"/>
          <w:szCs w:val="32"/>
        </w:rPr>
      </w:pPr>
      <w:bookmarkStart w:id="653" w:name="_Toc77601258"/>
      <w:bookmarkStart w:id="654" w:name="_Toc74642488"/>
      <w:bookmarkStart w:id="655" w:name="_Toc77600902"/>
      <w:bookmarkStart w:id="656" w:name="_Toc77601440"/>
      <w:r>
        <w:rPr>
          <w:rFonts w:hint="eastAsia" w:ascii="宋体" w:hAnsi="宋体" w:cs="黑体"/>
          <w:b/>
          <w:bCs/>
          <w:color w:val="000000"/>
          <w:sz w:val="30"/>
          <w:szCs w:val="32"/>
        </w:rPr>
        <w:t>（1）培育生态文化产业</w:t>
      </w:r>
      <w:bookmarkEnd w:id="653"/>
      <w:bookmarkEnd w:id="654"/>
      <w:bookmarkEnd w:id="655"/>
      <w:bookmarkEnd w:id="656"/>
    </w:p>
    <w:p>
      <w:pPr>
        <w:ind w:firstLine="560"/>
        <w:rPr>
          <w:rFonts w:ascii="Times New Roman" w:hAnsi="Times New Roman" w:cs="Times New Roman"/>
          <w:szCs w:val="28"/>
        </w:rPr>
      </w:pPr>
      <w:r>
        <w:rPr>
          <w:rFonts w:hint="eastAsia" w:ascii="Times New Roman" w:hAnsi="Times New Roman" w:cs="Times New Roman"/>
          <w:szCs w:val="28"/>
        </w:rPr>
        <w:t>深入挖掘抚远市得天独厚的旅游资源，全力打造中国观光休闲避暑胜地、国际知名的旅游目的地。重点打好“五张牌”，开启全域旅游发展模式。一是东字牌。借“东”创景，借“东”造势，借“东”扬名，吸引各方游客到抚远“坐东”。二是政治牌。世界唯一的内陆“两国一岛”黑瞎子岛，是中俄外交在领土问题上的最终成果体现，具有重大的政治意义。利用两国大力推进战略合作的历史机遇和口岸开放的优势，中俄双方黑瞎子岛实行错位开发，共同打造国际旅游岛，让游客充分感受中俄间的友好往来和互利发展。三是跨境牌。加强与俄远东城市旅游部门及旅游企业的对接，积极开拓国际旅游市场，打造了界江风情游、边境跨国观光游、异域风情体验游等特色旅游产品，使游客来抚远领略异域风情、感受浓厚俄罗斯文化气息。四是生态牌。大力开发生态观光游项目，让游客尽享清爽甘甜的原野气息，北国广袤生动的自然美景，远离尘嚣放归自然的情趣。五是民族牌。黑龙江、乌苏里江流域是我国最小民族—赫哲人的发祥地，抚远境内拥有较大的族群，至今仍保持着鲜明的民族特色。积极开发民族游项目，游客可以深切体验赫哲人原始古朴的渔猎生活。</w:t>
      </w:r>
    </w:p>
    <w:p>
      <w:pPr>
        <w:ind w:firstLine="560"/>
        <w:rPr>
          <w:rFonts w:ascii="Times New Roman" w:hAnsi="Times New Roman" w:cs="Times New Roman"/>
          <w:szCs w:val="28"/>
        </w:rPr>
      </w:pPr>
      <w:r>
        <w:rPr>
          <w:rFonts w:hint="eastAsia" w:ascii="Times New Roman" w:hAnsi="Times New Roman" w:cs="Times New Roman"/>
          <w:szCs w:val="28"/>
        </w:rPr>
        <w:t>积极争取国务院批复设立边境旅游试验区，以全方位文</w:t>
      </w:r>
      <w:r>
        <w:rPr>
          <w:rFonts w:ascii="Times New Roman" w:hAnsi="Times New Roman" w:cs="Times New Roman"/>
          <w:szCs w:val="28"/>
        </w:rPr>
        <w:t>化旅游交流带动中俄全方位经贸合作。随着黑瞎子岛国际旅游岛建设，积极申报跨境旅游合作区。借助旅游合作突破引领对俄经贸、文化合作全面升级，助推抚远市创建国家重点开发开放试验区。</w:t>
      </w:r>
    </w:p>
    <w:p>
      <w:pPr>
        <w:ind w:firstLine="560"/>
        <w:rPr>
          <w:rFonts w:ascii="Times New Roman" w:hAnsi="Times New Roman" w:cs="Times New Roman"/>
          <w:szCs w:val="28"/>
        </w:rPr>
      </w:pPr>
      <w:r>
        <w:rPr>
          <w:rFonts w:hint="eastAsia" w:ascii="Times New Roman" w:hAnsi="Times New Roman" w:cs="Times New Roman"/>
          <w:szCs w:val="28"/>
        </w:rPr>
        <w:t>贯彻落实《黑瞎子岛保护与开发开放总体规划》，紧抓陆路口岸开通契机，打造国际旅游岛。以创建国家</w:t>
      </w:r>
      <w:r>
        <w:rPr>
          <w:rFonts w:ascii="Times New Roman" w:hAnsi="Times New Roman" w:cs="Times New Roman"/>
          <w:szCs w:val="28"/>
        </w:rPr>
        <w:t xml:space="preserve">5A级旅游景区为抓手，全面提升黑瞎子岛各景区品质，打造世界级旅游精品项目，形成强有力的旅游吸引核心。 </w:t>
      </w:r>
    </w:p>
    <w:p>
      <w:pPr>
        <w:ind w:firstLine="560"/>
        <w:rPr>
          <w:rFonts w:ascii="Times New Roman" w:hAnsi="Times New Roman" w:cs="Times New Roman"/>
          <w:szCs w:val="28"/>
        </w:rPr>
      </w:pPr>
      <w:r>
        <w:rPr>
          <w:rFonts w:hint="eastAsia" w:ascii="Times New Roman" w:hAnsi="Times New Roman" w:cs="Times New Roman"/>
          <w:szCs w:val="28"/>
        </w:rPr>
        <w:t>以打造边境旅游试验区、跨境旅游合作区为目标，科学</w:t>
      </w:r>
      <w:r>
        <w:rPr>
          <w:rFonts w:ascii="Times New Roman" w:hAnsi="Times New Roman" w:cs="Times New Roman"/>
          <w:szCs w:val="28"/>
        </w:rPr>
        <w:t xml:space="preserve">谋划、创新实践，坚持以高质量发展为主题，探索以边促旅、以旅兴边、跨境合作、扩大开放的全域旅游发展新模式，打造抚远全域旅游高质量发展新格局。 </w:t>
      </w:r>
    </w:p>
    <w:p>
      <w:pPr>
        <w:ind w:firstLine="560"/>
        <w:rPr>
          <w:rFonts w:ascii="Times New Roman" w:hAnsi="Times New Roman" w:cs="Times New Roman"/>
          <w:szCs w:val="28"/>
        </w:rPr>
      </w:pPr>
      <w:r>
        <w:rPr>
          <w:rFonts w:hint="eastAsia" w:ascii="Times New Roman" w:hAnsi="Times New Roman" w:cs="Times New Roman"/>
          <w:szCs w:val="28"/>
        </w:rPr>
        <w:t>优化产业结构，培育重点产业区块，扶持具有导向性、拥有自主知识产权、核心能力强的文化产业，发展一批优势产业门类，文化产业的增长幅度高于全市</w:t>
      </w:r>
      <w:r>
        <w:rPr>
          <w:rFonts w:ascii="Times New Roman" w:hAnsi="Times New Roman" w:cs="Times New Roman"/>
          <w:szCs w:val="28"/>
        </w:rPr>
        <w:t>GDP增幅。至2021年，建立适应社会主义区场经济体制的文化产业发展机制，形成以公有制为主体、多种所有制文化企业有序竞争、共同发展的文化产业发展格局，建成科技较高、特色鲜明的文化产业体系。</w:t>
      </w:r>
    </w:p>
    <w:p>
      <w:pPr>
        <w:keepNext/>
        <w:keepLines/>
        <w:ind w:firstLine="602"/>
        <w:jc w:val="left"/>
        <w:outlineLvl w:val="1"/>
        <w:rPr>
          <w:rFonts w:ascii="宋体" w:hAnsi="宋体" w:cs="黑体"/>
          <w:b/>
          <w:bCs/>
          <w:color w:val="000000"/>
          <w:sz w:val="30"/>
          <w:szCs w:val="32"/>
        </w:rPr>
      </w:pPr>
      <w:bookmarkStart w:id="657" w:name="_Toc74642489"/>
      <w:bookmarkStart w:id="658" w:name="_Toc77600903"/>
      <w:bookmarkStart w:id="659" w:name="_Toc77601441"/>
      <w:bookmarkStart w:id="660" w:name="_Toc77601259"/>
      <w:r>
        <w:rPr>
          <w:rFonts w:hint="eastAsia" w:ascii="宋体" w:hAnsi="宋体" w:cs="黑体"/>
          <w:b/>
          <w:bCs/>
          <w:color w:val="000000"/>
          <w:sz w:val="30"/>
          <w:szCs w:val="32"/>
        </w:rPr>
        <w:t>（2）加强文化遗产保护利用</w:t>
      </w:r>
      <w:bookmarkEnd w:id="657"/>
      <w:bookmarkEnd w:id="658"/>
      <w:bookmarkEnd w:id="659"/>
      <w:bookmarkEnd w:id="660"/>
      <w:r>
        <w:rPr>
          <w:rFonts w:hint="eastAsia" w:ascii="宋体" w:hAnsi="宋体" w:cs="黑体"/>
          <w:b/>
          <w:bCs/>
          <w:color w:val="000000"/>
          <w:sz w:val="30"/>
          <w:szCs w:val="32"/>
        </w:rPr>
        <w:t xml:space="preserve"> </w:t>
      </w:r>
    </w:p>
    <w:p>
      <w:pPr>
        <w:ind w:firstLine="560"/>
        <w:rPr>
          <w:rFonts w:ascii="Times New Roman" w:hAnsi="Times New Roman" w:cs="Times New Roman"/>
          <w:szCs w:val="28"/>
        </w:rPr>
      </w:pPr>
      <w:r>
        <w:rPr>
          <w:rFonts w:hint="eastAsia" w:ascii="Times New Roman" w:hAnsi="Times New Roman" w:cs="Times New Roman"/>
          <w:szCs w:val="28"/>
        </w:rPr>
        <w:t>结合发展渔业经济，大力开发“渔文化游”项目，让游客可观赏到形态各异的东北特种鱼类，品尝风味纯正野生江鲜。深度挖掘渔文化、赫哲文化、熊文化等抚远文化内涵，</w:t>
      </w:r>
      <w:r>
        <w:rPr>
          <w:rFonts w:ascii="Times New Roman" w:hAnsi="Times New Roman" w:cs="Times New Roman"/>
          <w:szCs w:val="28"/>
        </w:rPr>
        <w:t>传承和创新赫哲族渔猎技艺、文学、歌舞、工艺、礼仪、游艺和服饰。建立非物质文化遗产保护体系，积极争取赫哲族传统渔皮衣制作技艺、鱼皮画制作技艺等纳入国家级非物质文化遗产名录，积极申报一批省级非遗项目。持续举办</w:t>
      </w:r>
      <w:r>
        <w:rPr>
          <w:rFonts w:hint="eastAsia" w:ascii="Times New Roman" w:hAnsi="Times New Roman" w:cs="Times New Roman"/>
          <w:szCs w:val="28"/>
        </w:rPr>
        <w:t>“</w:t>
      </w:r>
      <w:r>
        <w:rPr>
          <w:rFonts w:ascii="Times New Roman" w:hAnsi="Times New Roman" w:cs="Times New Roman"/>
          <w:szCs w:val="28"/>
        </w:rPr>
        <w:t>抚远伊玛堪传习所</w:t>
      </w:r>
      <w:r>
        <w:rPr>
          <w:rFonts w:hint="eastAsia" w:ascii="Times New Roman" w:hAnsi="Times New Roman" w:cs="Times New Roman"/>
          <w:szCs w:val="28"/>
        </w:rPr>
        <w:t>”</w:t>
      </w:r>
      <w:r>
        <w:rPr>
          <w:rFonts w:ascii="Times New Roman" w:hAnsi="Times New Roman" w:cs="Times New Roman"/>
          <w:szCs w:val="28"/>
        </w:rPr>
        <w:t>培训班，培育非遗传播专项志</w:t>
      </w:r>
      <w:r>
        <w:rPr>
          <w:rFonts w:hint="eastAsia" w:ascii="Times New Roman" w:hAnsi="Times New Roman" w:cs="Times New Roman"/>
          <w:szCs w:val="28"/>
        </w:rPr>
        <w:t>愿服务队伍，培养赫哲族鱼皮制作技艺非遗传承人，推进非遗进景区、进社区、进学校活动。加强重点文物保护管理，推动国家级文</w:t>
      </w:r>
      <w:r>
        <w:rPr>
          <w:rFonts w:ascii="Times New Roman" w:hAnsi="Times New Roman" w:cs="Times New Roman"/>
          <w:szCs w:val="28"/>
        </w:rPr>
        <w:t>物遗址明代</w:t>
      </w:r>
      <w:r>
        <w:rPr>
          <w:rFonts w:hint="eastAsia" w:ascii="Times New Roman" w:hAnsi="Times New Roman" w:cs="Times New Roman"/>
          <w:szCs w:val="28"/>
        </w:rPr>
        <w:t>“</w:t>
      </w:r>
      <w:r>
        <w:rPr>
          <w:rFonts w:ascii="Times New Roman" w:hAnsi="Times New Roman" w:cs="Times New Roman"/>
          <w:szCs w:val="28"/>
        </w:rPr>
        <w:t>海西东水陆城站</w:t>
      </w:r>
      <w:r>
        <w:rPr>
          <w:rFonts w:hint="eastAsia" w:ascii="Times New Roman" w:hAnsi="Times New Roman" w:cs="Times New Roman"/>
          <w:szCs w:val="28"/>
        </w:rPr>
        <w:t>”</w:t>
      </w:r>
      <w:r>
        <w:rPr>
          <w:rFonts w:ascii="Times New Roman" w:hAnsi="Times New Roman" w:cs="Times New Roman"/>
          <w:szCs w:val="28"/>
        </w:rPr>
        <w:t>第十城莽吉塔站故城的深度开发和保护，延续抚远文化脉络。</w:t>
      </w:r>
    </w:p>
    <w:p>
      <w:pPr>
        <w:keepNext/>
        <w:keepLines/>
        <w:ind w:firstLine="602"/>
        <w:jc w:val="left"/>
        <w:outlineLvl w:val="1"/>
        <w:rPr>
          <w:rFonts w:ascii="宋体" w:hAnsi="宋体" w:cs="黑体"/>
          <w:b/>
          <w:bCs/>
          <w:color w:val="000000"/>
          <w:sz w:val="30"/>
          <w:szCs w:val="32"/>
        </w:rPr>
      </w:pPr>
      <w:bookmarkStart w:id="661" w:name="_Toc77600904"/>
      <w:bookmarkStart w:id="662" w:name="_Toc77601260"/>
      <w:bookmarkStart w:id="663" w:name="_Toc74642490"/>
      <w:bookmarkStart w:id="664" w:name="_Toc77601442"/>
      <w:r>
        <w:rPr>
          <w:rFonts w:hint="eastAsia" w:ascii="宋体" w:hAnsi="宋体" w:cs="黑体"/>
          <w:b/>
          <w:bCs/>
          <w:color w:val="000000"/>
          <w:sz w:val="30"/>
          <w:szCs w:val="32"/>
        </w:rPr>
        <w:t>（3）加强文化设施建设</w:t>
      </w:r>
      <w:bookmarkEnd w:id="661"/>
      <w:bookmarkEnd w:id="662"/>
      <w:bookmarkEnd w:id="663"/>
      <w:bookmarkEnd w:id="664"/>
    </w:p>
    <w:p>
      <w:pPr>
        <w:ind w:firstLine="560"/>
        <w:rPr>
          <w:rFonts w:ascii="Times New Roman" w:hAnsi="Times New Roman" w:cs="Times New Roman"/>
          <w:szCs w:val="28"/>
        </w:rPr>
      </w:pPr>
      <w:r>
        <w:rPr>
          <w:rFonts w:hint="eastAsia" w:ascii="Times New Roman" w:hAnsi="Times New Roman" w:cs="Times New Roman"/>
          <w:szCs w:val="28"/>
        </w:rPr>
        <w:t>建设期时段，抚远市需争取建设体育场地，配备体育器材，改善广大群众参与体育健身活动的条件。在规划期内</w:t>
      </w:r>
      <w:r>
        <w:rPr>
          <w:rFonts w:ascii="Times New Roman" w:hAnsi="Times New Roman" w:cs="Times New Roman"/>
          <w:szCs w:val="28"/>
        </w:rPr>
        <w:t>，建设足球场，</w:t>
      </w:r>
      <w:r>
        <w:rPr>
          <w:rFonts w:hint="eastAsia" w:ascii="Times New Roman" w:hAnsi="Times New Roman" w:cs="Times New Roman"/>
          <w:szCs w:val="28"/>
        </w:rPr>
        <w:t>扩大</w:t>
      </w:r>
      <w:r>
        <w:rPr>
          <w:rFonts w:ascii="Times New Roman" w:hAnsi="Times New Roman" w:cs="Times New Roman"/>
          <w:szCs w:val="28"/>
        </w:rPr>
        <w:t>体育健身器材</w:t>
      </w:r>
      <w:r>
        <w:rPr>
          <w:rFonts w:hint="eastAsia" w:ascii="Times New Roman" w:hAnsi="Times New Roman" w:cs="Times New Roman"/>
          <w:szCs w:val="28"/>
        </w:rPr>
        <w:t>覆盖面</w:t>
      </w:r>
      <w:r>
        <w:rPr>
          <w:rFonts w:ascii="Times New Roman" w:hAnsi="Times New Roman" w:cs="Times New Roman"/>
          <w:szCs w:val="28"/>
        </w:rPr>
        <w:t>。开展多种文化体育活动，保障群众文化健康权益</w:t>
      </w:r>
      <w:r>
        <w:rPr>
          <w:rFonts w:hint="eastAsia" w:ascii="Times New Roman" w:hAnsi="Times New Roman" w:cs="Times New Roman"/>
          <w:szCs w:val="28"/>
        </w:rPr>
        <w:t>，</w:t>
      </w:r>
      <w:r>
        <w:rPr>
          <w:rFonts w:ascii="Times New Roman" w:hAnsi="Times New Roman" w:cs="Times New Roman"/>
          <w:szCs w:val="28"/>
        </w:rPr>
        <w:t>使全市的体育活动开展得丰富多彩</w:t>
      </w:r>
      <w:r>
        <w:rPr>
          <w:rFonts w:hint="eastAsia" w:ascii="Times New Roman" w:hAnsi="Times New Roman" w:cs="Times New Roman"/>
          <w:szCs w:val="28"/>
        </w:rPr>
        <w:t>，如积极策划开展</w:t>
      </w:r>
      <w:r>
        <w:rPr>
          <w:rFonts w:ascii="Times New Roman" w:hAnsi="Times New Roman" w:cs="Times New Roman"/>
          <w:szCs w:val="28"/>
        </w:rPr>
        <w:t>象棋、围棋、兵乓球、田径赛、篮球赛、足球赛、健身运动会等体育活动</w:t>
      </w:r>
      <w:r>
        <w:rPr>
          <w:rFonts w:hint="eastAsia" w:ascii="Times New Roman" w:hAnsi="Times New Roman" w:cs="Times New Roman"/>
          <w:szCs w:val="28"/>
        </w:rPr>
        <w:t>，使</w:t>
      </w:r>
      <w:r>
        <w:rPr>
          <w:rFonts w:ascii="Times New Roman" w:hAnsi="Times New Roman" w:cs="Times New Roman"/>
          <w:szCs w:val="28"/>
        </w:rPr>
        <w:t>城乡居民身体素质进一步提高。</w:t>
      </w:r>
      <w:r>
        <w:rPr>
          <w:rFonts w:hint="eastAsia" w:ascii="Times New Roman" w:hAnsi="Times New Roman" w:cs="Times New Roman"/>
          <w:szCs w:val="28"/>
        </w:rPr>
        <w:t>定期</w:t>
      </w:r>
      <w:r>
        <w:rPr>
          <w:rFonts w:ascii="Times New Roman" w:hAnsi="Times New Roman" w:cs="Times New Roman"/>
          <w:szCs w:val="28"/>
        </w:rPr>
        <w:t>组织全市广大人民群众参加市体育局组织的体能测查，</w:t>
      </w:r>
      <w:r>
        <w:rPr>
          <w:rFonts w:hint="eastAsia" w:ascii="Times New Roman" w:hAnsi="Times New Roman" w:cs="Times New Roman"/>
          <w:szCs w:val="28"/>
        </w:rPr>
        <w:t>动态监测居民达到《国民体质测定标准》合格以上的人数比例。全民健身指导和志愿服务队伍需进一步发展，鼓励培养社会体育指导员在人员数量上的发展，使其综合素质和服务水平显著提高。另外，加强非遗展示馆的相关建设，征集民族艺术展品，添补抚远市没有非遗展示场馆的空白。加快博物馆建设，以丰富群众业余文化生活，同时有助于旅游事业的发展。</w:t>
      </w:r>
    </w:p>
    <w:p>
      <w:pPr>
        <w:pStyle w:val="4"/>
      </w:pPr>
      <w:bookmarkStart w:id="665" w:name="_Toc77349664"/>
      <w:bookmarkStart w:id="666" w:name="_Toc77601261"/>
      <w:bookmarkStart w:id="667" w:name="_Toc77601443"/>
      <w:bookmarkStart w:id="668" w:name="_Toc77600905"/>
      <w:bookmarkStart w:id="669" w:name="_Toc74642384"/>
      <w:r>
        <w:rPr>
          <w:rFonts w:hint="eastAsia"/>
        </w:rPr>
        <w:t xml:space="preserve">第六节 </w:t>
      </w:r>
      <w:r>
        <w:t>生态制度体系建设</w:t>
      </w:r>
      <w:bookmarkEnd w:id="665"/>
      <w:bookmarkEnd w:id="666"/>
      <w:bookmarkEnd w:id="667"/>
      <w:bookmarkEnd w:id="668"/>
    </w:p>
    <w:p>
      <w:pPr>
        <w:pStyle w:val="5"/>
      </w:pPr>
      <w:bookmarkStart w:id="670" w:name="_Toc16521"/>
      <w:bookmarkStart w:id="671" w:name="_Toc1607168683_WPSOffice_Level3"/>
      <w:bookmarkStart w:id="672" w:name="_Toc77349666"/>
      <w:bookmarkStart w:id="673" w:name="_Toc1494453596_WPSOffice_Level3"/>
      <w:bookmarkStart w:id="674" w:name="_Toc77601262"/>
      <w:bookmarkStart w:id="675" w:name="_Toc77601444"/>
      <w:r>
        <w:rPr>
          <w:rFonts w:hint="eastAsia"/>
        </w:rPr>
        <w:t>一</w:t>
      </w:r>
      <w:r>
        <w:t>、建设总体思</w:t>
      </w:r>
      <w:bookmarkEnd w:id="670"/>
      <w:bookmarkEnd w:id="671"/>
      <w:bookmarkEnd w:id="672"/>
      <w:bookmarkEnd w:id="673"/>
      <w:r>
        <w:rPr>
          <w:rFonts w:hint="eastAsia"/>
        </w:rPr>
        <w:t>路</w:t>
      </w:r>
      <w:bookmarkEnd w:id="674"/>
      <w:bookmarkEnd w:id="675"/>
    </w:p>
    <w:p>
      <w:pPr>
        <w:pStyle w:val="3"/>
        <w:spacing w:line="360" w:lineRule="auto"/>
        <w:ind w:firstLine="602" w:firstLineChars="200"/>
        <w:jc w:val="both"/>
        <w:rPr>
          <w:rFonts w:ascii="宋体" w:hAnsi="宋体" w:cs="黑体"/>
          <w:sz w:val="30"/>
          <w:szCs w:val="30"/>
        </w:rPr>
      </w:pPr>
      <w:bookmarkStart w:id="676" w:name="_Toc77601263"/>
      <w:bookmarkStart w:id="677" w:name="_Toc77600906"/>
      <w:bookmarkStart w:id="678" w:name="_Toc77601445"/>
      <w:r>
        <w:rPr>
          <w:rFonts w:hint="eastAsia" w:ascii="宋体" w:hAnsi="宋体" w:cs="黑体"/>
          <w:sz w:val="30"/>
          <w:szCs w:val="30"/>
        </w:rPr>
        <w:t>（一）优化生态文明考核和责任追究制度</w:t>
      </w:r>
      <w:bookmarkEnd w:id="669"/>
      <w:bookmarkEnd w:id="676"/>
      <w:bookmarkEnd w:id="677"/>
      <w:bookmarkEnd w:id="678"/>
    </w:p>
    <w:p>
      <w:pPr>
        <w:keepNext/>
        <w:keepLines/>
        <w:ind w:firstLine="602"/>
        <w:jc w:val="left"/>
        <w:outlineLvl w:val="1"/>
        <w:rPr>
          <w:rFonts w:ascii="黑体" w:hAnsi="黑体" w:eastAsia="黑体" w:cs="黑体"/>
          <w:color w:val="000000"/>
          <w:sz w:val="30"/>
          <w:szCs w:val="32"/>
        </w:rPr>
      </w:pPr>
      <w:bookmarkStart w:id="679" w:name="_Toc77601264"/>
      <w:bookmarkStart w:id="680" w:name="_Toc74642385"/>
      <w:bookmarkStart w:id="681" w:name="_Toc77601446"/>
      <w:bookmarkStart w:id="682" w:name="_Toc77600907"/>
      <w:r>
        <w:rPr>
          <w:rFonts w:hint="eastAsia" w:ascii="宋体" w:hAnsi="宋体" w:cs="黑体"/>
          <w:b/>
          <w:bCs/>
          <w:color w:val="000000"/>
          <w:sz w:val="30"/>
          <w:szCs w:val="32"/>
        </w:rPr>
        <w:t>（1）完善生态文明建设统筹机制</w:t>
      </w:r>
      <w:bookmarkEnd w:id="679"/>
      <w:bookmarkEnd w:id="680"/>
      <w:bookmarkEnd w:id="681"/>
      <w:bookmarkEnd w:id="682"/>
    </w:p>
    <w:p>
      <w:pPr>
        <w:ind w:firstLine="560"/>
        <w:rPr>
          <w:rFonts w:ascii="宋体" w:hAnsi="宋体" w:cs="Times New Roman"/>
          <w:szCs w:val="28"/>
        </w:rPr>
      </w:pPr>
      <w:r>
        <w:rPr>
          <w:rFonts w:ascii="宋体" w:hAnsi="宋体" w:cs="Times New Roman"/>
          <w:szCs w:val="28"/>
        </w:rPr>
        <w:t>成立由</w:t>
      </w:r>
      <w:r>
        <w:rPr>
          <w:rFonts w:hint="eastAsia" w:ascii="宋体" w:hAnsi="宋体" w:cs="Times New Roman"/>
          <w:szCs w:val="28"/>
        </w:rPr>
        <w:t>抚远市</w:t>
      </w:r>
      <w:r>
        <w:rPr>
          <w:rFonts w:ascii="宋体" w:hAnsi="宋体" w:cs="Times New Roman"/>
          <w:szCs w:val="28"/>
        </w:rPr>
        <w:t>委、</w:t>
      </w:r>
      <w:r>
        <w:rPr>
          <w:rFonts w:hint="eastAsia" w:ascii="宋体" w:hAnsi="宋体" w:cs="Times New Roman"/>
          <w:szCs w:val="28"/>
        </w:rPr>
        <w:t>市</w:t>
      </w:r>
      <w:r>
        <w:rPr>
          <w:rFonts w:ascii="宋体" w:hAnsi="宋体" w:cs="Times New Roman"/>
          <w:szCs w:val="28"/>
        </w:rPr>
        <w:t>政府、</w:t>
      </w:r>
      <w:r>
        <w:rPr>
          <w:rFonts w:hint="eastAsia" w:ascii="宋体" w:hAnsi="宋体" w:cs="Times New Roman"/>
          <w:szCs w:val="28"/>
        </w:rPr>
        <w:t>市</w:t>
      </w:r>
      <w:r>
        <w:rPr>
          <w:rFonts w:ascii="宋体" w:hAnsi="宋体" w:cs="Times New Roman"/>
          <w:szCs w:val="28"/>
        </w:rPr>
        <w:t>直各部门构成的“抚远市创建国家生态文明建设示范</w:t>
      </w:r>
      <w:r>
        <w:rPr>
          <w:rFonts w:hint="eastAsia" w:ascii="宋体" w:hAnsi="宋体" w:cs="Times New Roman"/>
          <w:szCs w:val="28"/>
        </w:rPr>
        <w:t>市</w:t>
      </w:r>
      <w:r>
        <w:rPr>
          <w:rFonts w:ascii="宋体" w:hAnsi="宋体" w:cs="Times New Roman"/>
          <w:szCs w:val="28"/>
        </w:rPr>
        <w:t>”领导小组，强化领导小组在创建生态文明建设示范</w:t>
      </w:r>
      <w:r>
        <w:rPr>
          <w:rFonts w:hint="eastAsia" w:ascii="宋体" w:hAnsi="宋体" w:cs="Times New Roman"/>
          <w:szCs w:val="28"/>
        </w:rPr>
        <w:t>市</w:t>
      </w:r>
      <w:r>
        <w:rPr>
          <w:rFonts w:ascii="宋体" w:hAnsi="宋体" w:cs="Times New Roman"/>
          <w:szCs w:val="28"/>
        </w:rPr>
        <w:t>的规划落实、统筹协调等方面的核心作用，形成整体推进生态文明建设工作的强大合力。理顺部门权责，加强部门协作，形成各部门相互协调、上下良性互动的生态文明建设机制。</w:t>
      </w:r>
    </w:p>
    <w:p>
      <w:pPr>
        <w:keepNext/>
        <w:keepLines/>
        <w:ind w:firstLine="602"/>
        <w:jc w:val="left"/>
        <w:outlineLvl w:val="1"/>
        <w:rPr>
          <w:rFonts w:ascii="宋体" w:hAnsi="宋体" w:cs="黑体"/>
          <w:b/>
          <w:bCs/>
          <w:color w:val="000000"/>
          <w:sz w:val="30"/>
          <w:szCs w:val="32"/>
        </w:rPr>
      </w:pPr>
      <w:bookmarkStart w:id="683" w:name="_Toc74642386"/>
      <w:bookmarkStart w:id="684" w:name="_Toc77600908"/>
      <w:bookmarkStart w:id="685" w:name="_Toc77601447"/>
      <w:bookmarkStart w:id="686" w:name="_Toc77601265"/>
      <w:r>
        <w:rPr>
          <w:rFonts w:hint="eastAsia" w:ascii="宋体" w:hAnsi="宋体" w:cs="黑体"/>
          <w:b/>
          <w:bCs/>
          <w:color w:val="000000"/>
          <w:sz w:val="30"/>
          <w:szCs w:val="32"/>
        </w:rPr>
        <w:t>（2）健全干部实绩考核评价体系</w:t>
      </w:r>
      <w:bookmarkEnd w:id="683"/>
      <w:bookmarkEnd w:id="684"/>
      <w:bookmarkEnd w:id="685"/>
      <w:bookmarkEnd w:id="686"/>
    </w:p>
    <w:p>
      <w:pPr>
        <w:ind w:firstLine="560"/>
        <w:rPr>
          <w:rFonts w:ascii="Times New Roman" w:hAnsi="Times New Roman" w:cs="Times New Roman"/>
          <w:szCs w:val="28"/>
        </w:rPr>
      </w:pPr>
      <w:r>
        <w:rPr>
          <w:rFonts w:ascii="Times New Roman" w:hAnsi="Times New Roman" w:cs="Times New Roman"/>
          <w:szCs w:val="28"/>
        </w:rPr>
        <w:t>进一步发挥干部考核的指挥棒、风向标和助推器作用，探索以生态环境保护为核心的政府和部门环保法律责任清单管理制度，基层党政生态环保工作目标责任制考核体系。将生态文明建设、生态环境保护放到更重要的位置，不断完善体现生态文明要求的领导干部考核指标体系与考核办法，在评定领导干部考核等次时，确保区市（管委）、市直党政干部实绩考核评分标准中生态文明建设工作占党政实绩考核的比例不低于20%，推动生态文明建设各项工作落实到位。</w:t>
      </w:r>
    </w:p>
    <w:p>
      <w:pPr>
        <w:keepNext/>
        <w:keepLines/>
        <w:ind w:firstLine="602"/>
        <w:jc w:val="left"/>
        <w:outlineLvl w:val="1"/>
        <w:rPr>
          <w:rFonts w:ascii="宋体" w:hAnsi="宋体" w:cs="黑体"/>
          <w:b/>
          <w:bCs/>
          <w:color w:val="000000"/>
          <w:sz w:val="30"/>
          <w:szCs w:val="32"/>
        </w:rPr>
      </w:pPr>
      <w:bookmarkStart w:id="687" w:name="_Toc77601266"/>
      <w:bookmarkStart w:id="688" w:name="_Toc77601448"/>
      <w:bookmarkStart w:id="689" w:name="_Toc77600909"/>
      <w:bookmarkStart w:id="690" w:name="_Toc74642387"/>
      <w:r>
        <w:rPr>
          <w:rFonts w:hint="eastAsia" w:ascii="宋体" w:hAnsi="宋体" w:cs="黑体"/>
          <w:b/>
          <w:bCs/>
          <w:color w:val="000000"/>
          <w:sz w:val="30"/>
          <w:szCs w:val="32"/>
        </w:rPr>
        <w:t>（3）建立生态环境损害责任追究制度</w:t>
      </w:r>
      <w:bookmarkEnd w:id="687"/>
      <w:bookmarkEnd w:id="688"/>
      <w:bookmarkEnd w:id="689"/>
      <w:bookmarkEnd w:id="690"/>
    </w:p>
    <w:p>
      <w:pPr>
        <w:ind w:firstLine="560"/>
        <w:rPr>
          <w:rFonts w:ascii="Times New Roman" w:hAnsi="Times New Roman" w:cs="Times New Roman"/>
          <w:szCs w:val="28"/>
        </w:rPr>
      </w:pPr>
      <w:r>
        <w:rPr>
          <w:rFonts w:hint="eastAsia" w:ascii="Times New Roman" w:hAnsi="Times New Roman" w:cs="Times New Roman"/>
          <w:szCs w:val="28"/>
        </w:rPr>
        <w:t>完善以环境质量、生态资源指标为主要基础的生态文明建设考核指标体系，明确生态环保监督管理责任，探索建立生态环境损害责任追究体系，定期向社会公布各领导干部和部门实绩，对重视生态环境保护、完成生态文明建设任务成绩突出的，给予大力表彰；对不重视生态文明建设，发生重大生态环境破坏事故的，实施严格问责；对造成生态环境损害的责任者严格实施赔偿制度，依法追究其刑事责任。</w:t>
      </w:r>
    </w:p>
    <w:p>
      <w:pPr>
        <w:keepNext/>
        <w:keepLines/>
        <w:ind w:firstLine="602"/>
        <w:jc w:val="left"/>
        <w:outlineLvl w:val="1"/>
        <w:rPr>
          <w:rFonts w:ascii="宋体" w:hAnsi="宋体" w:cs="黑体"/>
          <w:b/>
          <w:bCs/>
          <w:color w:val="000000"/>
          <w:sz w:val="30"/>
          <w:szCs w:val="32"/>
        </w:rPr>
      </w:pPr>
      <w:bookmarkStart w:id="691" w:name="_Toc77601449"/>
      <w:bookmarkStart w:id="692" w:name="_Toc77600910"/>
      <w:bookmarkStart w:id="693" w:name="_Toc74642388"/>
      <w:bookmarkStart w:id="694" w:name="_Toc77601267"/>
      <w:r>
        <w:rPr>
          <w:rFonts w:hint="eastAsia" w:ascii="宋体" w:hAnsi="宋体" w:cs="黑体"/>
          <w:b/>
          <w:bCs/>
          <w:color w:val="000000"/>
          <w:sz w:val="30"/>
          <w:szCs w:val="32"/>
        </w:rPr>
        <w:t>（4）开展领导干部自然资源资产离任审计试点</w:t>
      </w:r>
      <w:bookmarkEnd w:id="691"/>
      <w:bookmarkEnd w:id="692"/>
      <w:bookmarkEnd w:id="693"/>
      <w:bookmarkEnd w:id="694"/>
    </w:p>
    <w:p>
      <w:pPr>
        <w:ind w:firstLine="560"/>
        <w:rPr>
          <w:rFonts w:ascii="Times New Roman" w:hAnsi="Times New Roman" w:cs="Times New Roman"/>
          <w:szCs w:val="28"/>
        </w:rPr>
      </w:pPr>
      <w:r>
        <w:rPr>
          <w:rFonts w:ascii="Times New Roman" w:hAnsi="Times New Roman" w:cs="Times New Roman"/>
          <w:szCs w:val="28"/>
        </w:rPr>
        <w:t>参照中共中央办公厅、国务院办公厅日前印发的《关于开展领导干部自然资源资产离任审计的试点方案》和《黑龙江省开展领导干部自然资源资产离任审计试点实施方案》，积极开展试点工作，积极探索领导干部自然资源资产离任审计的目标、内容、评价、责任界定和结果运用。推动领导干部守法、守纪、守规、尽责，切实履行自然资源资产管理和生态环境保护责任，促进自然资源资产节约集约利用和生态环境安全。</w:t>
      </w:r>
    </w:p>
    <w:p>
      <w:pPr>
        <w:pStyle w:val="3"/>
        <w:spacing w:line="360" w:lineRule="auto"/>
        <w:ind w:firstLine="602" w:firstLineChars="200"/>
        <w:jc w:val="both"/>
        <w:rPr>
          <w:rFonts w:ascii="宋体" w:hAnsi="宋体" w:cs="黑体"/>
          <w:sz w:val="30"/>
          <w:szCs w:val="30"/>
        </w:rPr>
      </w:pPr>
      <w:bookmarkStart w:id="695" w:name="_Toc77600911"/>
      <w:bookmarkStart w:id="696" w:name="_Toc77601450"/>
      <w:bookmarkStart w:id="697" w:name="_Toc74642389"/>
      <w:bookmarkStart w:id="698" w:name="_Toc77601268"/>
      <w:bookmarkStart w:id="699" w:name="_Hlk70452725"/>
      <w:r>
        <w:rPr>
          <w:rFonts w:hint="eastAsia" w:ascii="宋体" w:hAnsi="宋体" w:cs="黑体"/>
          <w:sz w:val="30"/>
          <w:szCs w:val="30"/>
        </w:rPr>
        <w:t>（二）完善自然资源资产产权和管理制度</w:t>
      </w:r>
      <w:bookmarkEnd w:id="695"/>
      <w:bookmarkEnd w:id="696"/>
      <w:bookmarkEnd w:id="697"/>
      <w:bookmarkEnd w:id="698"/>
      <w:bookmarkEnd w:id="699"/>
    </w:p>
    <w:p>
      <w:pPr>
        <w:keepNext/>
        <w:keepLines/>
        <w:ind w:firstLine="602"/>
        <w:jc w:val="left"/>
        <w:outlineLvl w:val="1"/>
        <w:rPr>
          <w:rFonts w:ascii="宋体" w:hAnsi="宋体" w:cs="黑体"/>
          <w:b/>
          <w:bCs/>
          <w:color w:val="000000"/>
          <w:sz w:val="30"/>
          <w:szCs w:val="32"/>
        </w:rPr>
      </w:pPr>
      <w:bookmarkStart w:id="700" w:name="_Toc77601451"/>
      <w:bookmarkStart w:id="701" w:name="_Toc77601269"/>
      <w:bookmarkStart w:id="702" w:name="_Toc74642390"/>
      <w:bookmarkStart w:id="703" w:name="_Toc77600912"/>
      <w:r>
        <w:rPr>
          <w:rFonts w:hint="eastAsia" w:ascii="宋体" w:hAnsi="宋体" w:cs="黑体"/>
          <w:b/>
          <w:bCs/>
          <w:color w:val="000000"/>
          <w:sz w:val="30"/>
          <w:szCs w:val="32"/>
        </w:rPr>
        <w:t>（1）健全自然资源资产产权制度和用途管制制度</w:t>
      </w:r>
      <w:bookmarkEnd w:id="700"/>
      <w:bookmarkEnd w:id="701"/>
      <w:bookmarkEnd w:id="702"/>
      <w:bookmarkEnd w:id="703"/>
    </w:p>
    <w:p>
      <w:pPr>
        <w:ind w:firstLine="560"/>
        <w:rPr>
          <w:rFonts w:ascii="Times New Roman" w:hAnsi="Times New Roman" w:cs="Times New Roman"/>
          <w:szCs w:val="28"/>
        </w:rPr>
      </w:pPr>
      <w:r>
        <w:rPr>
          <w:rFonts w:hint="eastAsia" w:ascii="Times New Roman" w:hAnsi="Times New Roman" w:cs="Times New Roman"/>
          <w:szCs w:val="28"/>
        </w:rPr>
        <w:t>按照市级要求，结合相关技术导则及法律法规，探索建立权责清晰的自然资产产权制度，所有权、使用权性质明了的有偿使用制度及主体明确的生态补偿、赔偿制度。逐步开展自然资产确权登记工作，建立全市自然资源登记信息管理平台、全民所有自然资源资产管理平台，推动保护优先、资源集约利用为导向的多元化的自然资产交易市场的形成。</w:t>
      </w:r>
    </w:p>
    <w:p>
      <w:pPr>
        <w:ind w:firstLine="560"/>
        <w:rPr>
          <w:rFonts w:ascii="Times New Roman" w:hAnsi="Times New Roman" w:cs="Times New Roman"/>
          <w:szCs w:val="28"/>
        </w:rPr>
      </w:pPr>
      <w:r>
        <w:rPr>
          <w:rFonts w:ascii="Times New Roman" w:hAnsi="Times New Roman" w:cs="Times New Roman"/>
          <w:szCs w:val="28"/>
        </w:rPr>
        <w:t>坚持矿产资源开发利用与环境保护并重、预防为主、防治结合的方针，加强矿山地质环境保护。矿山资源开发活动应严格遵守国家和地方法律法规要求。同时，为保障区域生态安全结构的连通性及景观生态的整体性，位于生态安全格局区域内的矿山资源开发活动应尽可能避免露天开采，严禁破坏地表植被系统。</w:t>
      </w:r>
    </w:p>
    <w:p>
      <w:pPr>
        <w:keepNext/>
        <w:keepLines/>
        <w:ind w:firstLine="602"/>
        <w:jc w:val="left"/>
        <w:outlineLvl w:val="1"/>
        <w:rPr>
          <w:rFonts w:ascii="宋体" w:hAnsi="宋体" w:cs="黑体"/>
          <w:b/>
          <w:bCs/>
          <w:color w:val="000000"/>
          <w:sz w:val="30"/>
          <w:szCs w:val="32"/>
        </w:rPr>
      </w:pPr>
      <w:bookmarkStart w:id="704" w:name="_Toc77601270"/>
      <w:bookmarkStart w:id="705" w:name="_Toc74642391"/>
      <w:bookmarkStart w:id="706" w:name="_Toc77600913"/>
      <w:bookmarkStart w:id="707" w:name="_Toc77601452"/>
      <w:r>
        <w:rPr>
          <w:rFonts w:hint="eastAsia" w:ascii="宋体" w:hAnsi="宋体" w:cs="黑体"/>
          <w:b/>
          <w:bCs/>
          <w:color w:val="000000"/>
          <w:sz w:val="30"/>
          <w:szCs w:val="32"/>
        </w:rPr>
        <w:t>（2）健全自然资源资产监管体系</w:t>
      </w:r>
      <w:bookmarkEnd w:id="704"/>
      <w:bookmarkEnd w:id="705"/>
      <w:bookmarkEnd w:id="706"/>
      <w:bookmarkEnd w:id="707"/>
    </w:p>
    <w:p>
      <w:pPr>
        <w:ind w:firstLine="560"/>
        <w:rPr>
          <w:rFonts w:ascii="Times New Roman" w:hAnsi="Times New Roman" w:cs="Times New Roman"/>
          <w:szCs w:val="28"/>
        </w:rPr>
      </w:pPr>
      <w:r>
        <w:rPr>
          <w:rFonts w:ascii="Times New Roman" w:hAnsi="Times New Roman"/>
          <w:color w:val="333333"/>
          <w:szCs w:val="28"/>
          <w:shd w:val="clear" w:color="auto" w:fill="FFFFFF"/>
        </w:rPr>
        <w:t>围绕落实省、市关于自然资源资产产权制度改革工作部署，</w:t>
      </w:r>
      <w:r>
        <w:rPr>
          <w:rFonts w:hint="eastAsia" w:ascii="Times New Roman" w:hAnsi="Times New Roman"/>
          <w:color w:val="333333"/>
          <w:szCs w:val="28"/>
          <w:shd w:val="clear" w:color="auto" w:fill="FFFFFF"/>
        </w:rPr>
        <w:t>建立</w:t>
      </w:r>
      <w:r>
        <w:rPr>
          <w:rFonts w:ascii="Times New Roman" w:hAnsi="Times New Roman"/>
          <w:color w:val="333333"/>
          <w:szCs w:val="28"/>
          <w:shd w:val="clear" w:color="auto" w:fill="FFFFFF"/>
        </w:rPr>
        <w:t>归属清晰、权责明确、保护严格、流转顺畅、监管有效的自然资源资产产权制度，为完善生态文明制度体系、保障国家生态安全和资源安全、推动形成人与自然和谐发展的现代化建设新格局提供有力支撑</w:t>
      </w:r>
      <w:r>
        <w:rPr>
          <w:rFonts w:hint="eastAsia" w:ascii="Times New Roman" w:hAnsi="Times New Roman"/>
          <w:color w:val="333333"/>
          <w:szCs w:val="28"/>
          <w:shd w:val="clear" w:color="auto" w:fill="FFFFFF"/>
        </w:rPr>
        <w:t>。</w:t>
      </w:r>
      <w:r>
        <w:rPr>
          <w:rFonts w:hint="eastAsia" w:ascii="Times New Roman" w:hAnsi="Times New Roman" w:cs="Times New Roman"/>
          <w:szCs w:val="28"/>
        </w:rPr>
        <w:t>发挥人大、行政、司法、审计和社会监督作用，创新管理方式方法，形成监管合力，实现对自然资源资产开发利用和保护的全程动态有效监管，加强对国有自然资源资产的监督，市政府定期公布辖区内国有自然资源资产情况，接受公众监督。建立自然资源行政执法与行政检察衔接平台，实现信息共享、案情通报、案件移送，通过检察法律监督，推动依法行政、严格执法。完善自然资源资产督察执法体制，加强督察执法队伍建设，严肃查处自然资源资产产权领域重大违法案件。</w:t>
      </w:r>
    </w:p>
    <w:p>
      <w:pPr>
        <w:pStyle w:val="3"/>
        <w:spacing w:line="360" w:lineRule="auto"/>
        <w:ind w:firstLine="602" w:firstLineChars="200"/>
        <w:jc w:val="both"/>
        <w:rPr>
          <w:rFonts w:ascii="宋体" w:hAnsi="宋体" w:cs="黑体"/>
          <w:sz w:val="30"/>
          <w:szCs w:val="30"/>
        </w:rPr>
      </w:pPr>
      <w:bookmarkStart w:id="708" w:name="_Toc74642392"/>
      <w:bookmarkStart w:id="709" w:name="_Toc77601271"/>
      <w:bookmarkStart w:id="710" w:name="_Toc77601453"/>
      <w:bookmarkStart w:id="711" w:name="_Toc77600914"/>
      <w:r>
        <w:rPr>
          <w:rFonts w:hint="eastAsia" w:ascii="宋体" w:hAnsi="宋体" w:cs="黑体"/>
          <w:sz w:val="30"/>
          <w:szCs w:val="30"/>
        </w:rPr>
        <w:t>（三）完善资源有偿使用和生态补偿制度</w:t>
      </w:r>
      <w:bookmarkEnd w:id="708"/>
      <w:bookmarkEnd w:id="709"/>
      <w:bookmarkEnd w:id="710"/>
      <w:bookmarkEnd w:id="711"/>
    </w:p>
    <w:p>
      <w:pPr>
        <w:keepNext/>
        <w:keepLines/>
        <w:ind w:firstLine="602"/>
        <w:jc w:val="left"/>
        <w:outlineLvl w:val="1"/>
        <w:rPr>
          <w:rFonts w:ascii="宋体" w:hAnsi="宋体" w:cs="黑体"/>
          <w:b/>
          <w:bCs/>
          <w:color w:val="000000"/>
          <w:sz w:val="30"/>
          <w:szCs w:val="32"/>
        </w:rPr>
      </w:pPr>
      <w:bookmarkStart w:id="712" w:name="_Toc74642393"/>
      <w:bookmarkStart w:id="713" w:name="_Toc77600915"/>
      <w:bookmarkStart w:id="714" w:name="_Toc77601454"/>
      <w:bookmarkStart w:id="715" w:name="_Toc77601272"/>
      <w:r>
        <w:rPr>
          <w:rFonts w:hint="eastAsia" w:ascii="宋体" w:hAnsi="宋体" w:cs="黑体"/>
          <w:b/>
          <w:bCs/>
          <w:color w:val="000000"/>
          <w:sz w:val="30"/>
          <w:szCs w:val="32"/>
        </w:rPr>
        <w:t>（1）探索实施自然资源资产有偿使用制度</w:t>
      </w:r>
      <w:bookmarkEnd w:id="712"/>
      <w:bookmarkEnd w:id="713"/>
      <w:bookmarkEnd w:id="714"/>
      <w:bookmarkEnd w:id="715"/>
    </w:p>
    <w:p>
      <w:pPr>
        <w:ind w:firstLine="560"/>
        <w:rPr>
          <w:rFonts w:ascii="Times New Roman" w:hAnsi="Times New Roman" w:cs="Times New Roman"/>
          <w:szCs w:val="28"/>
        </w:rPr>
      </w:pPr>
      <w:r>
        <w:rPr>
          <w:rFonts w:hint="eastAsia" w:ascii="Times New Roman" w:hAnsi="Times New Roman" w:cs="Times New Roman"/>
          <w:szCs w:val="28"/>
        </w:rPr>
        <w:t>与国家、省、市相关文件对接，建立自然资源资产分等定级价格评估制度和资产审核制度。完善自然资源资产开发利用标准体系和产业准入政策，将自然资源资产开发利用水平和生态保护要求作为选择使用权人的重要因素并纳入出让合同。完善自然资源资产使用权转让、出租、抵押市场规则，规范市场建设，明确受让人开发利用自然资源资产的要求。统筹推进自然资源资产交易平台和服务体系建设，健全市场监测监管和调控机制，建立自然资源资产市场信用体系，促进自然资源资产流转顺畅、交易安全、利用高效。</w:t>
      </w:r>
    </w:p>
    <w:p>
      <w:pPr>
        <w:keepNext/>
        <w:keepLines/>
        <w:ind w:firstLine="602"/>
        <w:jc w:val="left"/>
        <w:outlineLvl w:val="1"/>
        <w:rPr>
          <w:rFonts w:ascii="宋体" w:hAnsi="宋体" w:cs="黑体"/>
          <w:b/>
          <w:bCs/>
          <w:color w:val="000000"/>
          <w:sz w:val="30"/>
          <w:szCs w:val="32"/>
        </w:rPr>
      </w:pPr>
      <w:bookmarkStart w:id="716" w:name="_Toc77600916"/>
      <w:bookmarkStart w:id="717" w:name="_Toc77601273"/>
      <w:bookmarkStart w:id="718" w:name="_Toc77601455"/>
      <w:bookmarkStart w:id="719" w:name="_Toc74642394"/>
      <w:r>
        <w:rPr>
          <w:rFonts w:hint="eastAsia" w:ascii="宋体" w:hAnsi="宋体" w:cs="黑体"/>
          <w:b/>
          <w:bCs/>
          <w:color w:val="000000"/>
          <w:sz w:val="30"/>
          <w:szCs w:val="32"/>
        </w:rPr>
        <w:t>（2）建立生态环境保护补偿制度</w:t>
      </w:r>
      <w:bookmarkEnd w:id="716"/>
      <w:bookmarkEnd w:id="717"/>
      <w:bookmarkEnd w:id="718"/>
      <w:bookmarkEnd w:id="719"/>
    </w:p>
    <w:p>
      <w:pPr>
        <w:ind w:firstLine="560"/>
        <w:rPr>
          <w:rFonts w:ascii="Times New Roman" w:hAnsi="Times New Roman" w:cs="Times New Roman"/>
          <w:szCs w:val="28"/>
        </w:rPr>
      </w:pPr>
      <w:r>
        <w:rPr>
          <w:rFonts w:hint="eastAsia" w:ascii="Times New Roman" w:hAnsi="Times New Roman" w:cs="Times New Roman"/>
          <w:szCs w:val="28"/>
        </w:rPr>
        <w:t>按照国家、省、市确定的生态环境建设目标，以共享、受益者补偿和损害者赔偿为原则，逐步完善建立健全多元化生态补偿机制。探索与本市经济发展相适应的水源保护区、湿地公园等重点生态功能区生态效益补偿制度，完善生态环境保护长效机制，促使生态保护者的积极性和主动参与度的极大提升，真正建立起与地方经济发展水平相适应、相协调、相促进的生态保护补偿机制，促进全市生态环境质量全面改善。</w:t>
      </w:r>
    </w:p>
    <w:p>
      <w:pPr>
        <w:pStyle w:val="3"/>
        <w:spacing w:line="360" w:lineRule="auto"/>
        <w:ind w:firstLine="602" w:firstLineChars="200"/>
        <w:jc w:val="both"/>
        <w:rPr>
          <w:rFonts w:ascii="宋体" w:hAnsi="宋体" w:cs="黑体"/>
          <w:sz w:val="30"/>
          <w:szCs w:val="30"/>
        </w:rPr>
      </w:pPr>
      <w:bookmarkStart w:id="720" w:name="_Toc74642395"/>
      <w:bookmarkStart w:id="721" w:name="_Toc77601274"/>
      <w:bookmarkStart w:id="722" w:name="_Toc77601456"/>
      <w:bookmarkStart w:id="723" w:name="_Hlk70452681"/>
      <w:bookmarkStart w:id="724" w:name="_Toc77600917"/>
      <w:r>
        <w:rPr>
          <w:rFonts w:hint="eastAsia" w:ascii="宋体" w:hAnsi="宋体" w:cs="黑体"/>
          <w:sz w:val="30"/>
          <w:szCs w:val="30"/>
        </w:rPr>
        <w:t>（四）强化生态环境保护与治理机制体制</w:t>
      </w:r>
      <w:bookmarkEnd w:id="720"/>
      <w:bookmarkEnd w:id="721"/>
      <w:bookmarkEnd w:id="722"/>
      <w:bookmarkEnd w:id="723"/>
      <w:bookmarkEnd w:id="724"/>
    </w:p>
    <w:p>
      <w:pPr>
        <w:keepNext/>
        <w:keepLines/>
        <w:ind w:firstLine="602"/>
        <w:jc w:val="left"/>
        <w:outlineLvl w:val="1"/>
        <w:rPr>
          <w:rFonts w:ascii="宋体" w:hAnsi="宋体" w:cs="黑体"/>
          <w:b/>
          <w:bCs/>
          <w:color w:val="000000"/>
          <w:sz w:val="30"/>
          <w:szCs w:val="32"/>
        </w:rPr>
      </w:pPr>
      <w:bookmarkStart w:id="725" w:name="_Toc74642396"/>
      <w:bookmarkStart w:id="726" w:name="_Toc77601275"/>
      <w:bookmarkStart w:id="727" w:name="_Toc77600918"/>
      <w:bookmarkStart w:id="728" w:name="_Toc77601457"/>
      <w:r>
        <w:rPr>
          <w:rFonts w:hint="eastAsia" w:ascii="宋体" w:hAnsi="宋体" w:cs="黑体"/>
          <w:b/>
          <w:bCs/>
          <w:color w:val="000000"/>
          <w:sz w:val="30"/>
          <w:szCs w:val="32"/>
        </w:rPr>
        <w:t>（1）持续推行规划环境影响评价制度</w:t>
      </w:r>
      <w:bookmarkEnd w:id="725"/>
      <w:bookmarkEnd w:id="726"/>
      <w:bookmarkEnd w:id="727"/>
      <w:bookmarkEnd w:id="728"/>
    </w:p>
    <w:p>
      <w:pPr>
        <w:ind w:firstLine="560"/>
        <w:rPr>
          <w:rFonts w:ascii="Times New Roman" w:hAnsi="Times New Roman" w:cs="Times New Roman"/>
          <w:szCs w:val="28"/>
        </w:rPr>
      </w:pPr>
      <w:r>
        <w:rPr>
          <w:rFonts w:ascii="宋体" w:hAnsi="宋体" w:cs="Times New Roman"/>
          <w:szCs w:val="28"/>
        </w:rPr>
        <w:t>严格执行《中华人民共和国环境影响评价法》和《黑龙江省建设项目环境保护管理办法》，对新、改、扩建项目必须进行环境影响评价。实施污染物排放总量控制，对禁止建设的工业项目和未通过节能评估、环境影响评价审查的项目，有关部门不得审批、核准和备案，不得提供土地，不得批准开工建设，不得发放生产许可证、安全生产许可证和排污许可证，金融机构不得提供任何形式的新增授信支持，有关单位不得供电供水供气。严格依法处理市域内建设项目“未批先建”行为，依据《环境保护法》《环境影响评价法》《建设项目环境保护管理条例》等法律规定，并参照《黑龙江省主要环境违法行为行政处罚具体裁量标准（试行）》，区分不同的违法类别、情形和程度，综合考虑违法行为整改情况，秉承合法合理、过罚相当、公平公正等原则，</w:t>
      </w:r>
      <w:r>
        <w:rPr>
          <w:rFonts w:ascii="Times New Roman" w:hAnsi="Times New Roman" w:cs="Times New Roman"/>
          <w:szCs w:val="28"/>
        </w:rPr>
        <w:t>给予建设单位相应幅度的行政处罚。对违规建设、投产的污染项目要坚决清理。</w:t>
      </w:r>
    </w:p>
    <w:p>
      <w:pPr>
        <w:keepNext/>
        <w:keepLines/>
        <w:ind w:firstLine="602"/>
        <w:jc w:val="left"/>
        <w:outlineLvl w:val="1"/>
        <w:rPr>
          <w:rFonts w:ascii="宋体" w:hAnsi="宋体" w:cs="黑体"/>
          <w:b/>
          <w:bCs/>
          <w:color w:val="000000"/>
          <w:sz w:val="30"/>
          <w:szCs w:val="32"/>
        </w:rPr>
      </w:pPr>
      <w:bookmarkStart w:id="729" w:name="_Toc77600919"/>
      <w:bookmarkStart w:id="730" w:name="_Toc74642397"/>
      <w:bookmarkStart w:id="731" w:name="_Toc77601458"/>
      <w:bookmarkStart w:id="732" w:name="_Toc77601276"/>
      <w:r>
        <w:rPr>
          <w:rFonts w:hint="eastAsia" w:ascii="宋体" w:hAnsi="宋体" w:cs="黑体"/>
          <w:b/>
          <w:bCs/>
          <w:color w:val="000000"/>
          <w:sz w:val="30"/>
          <w:szCs w:val="32"/>
        </w:rPr>
        <w:t>（2）深化落实河（湖）长制</w:t>
      </w:r>
      <w:bookmarkEnd w:id="729"/>
      <w:bookmarkEnd w:id="730"/>
      <w:bookmarkEnd w:id="731"/>
      <w:bookmarkEnd w:id="732"/>
    </w:p>
    <w:p>
      <w:pPr>
        <w:ind w:firstLine="560"/>
        <w:rPr>
          <w:rFonts w:ascii="Times New Roman" w:hAnsi="Times New Roman" w:cs="Times New Roman"/>
          <w:szCs w:val="28"/>
        </w:rPr>
      </w:pPr>
      <w:r>
        <w:rPr>
          <w:rFonts w:hint="eastAsia" w:ascii="Times New Roman" w:hAnsi="Times New Roman" w:cs="Times New Roman"/>
          <w:szCs w:val="28"/>
        </w:rPr>
        <w:t>进一步发挥河（湖）长作用，压实区、街道、社区各级河长制，将黑臭水体、小微黑臭水体等长效化整治情况纳入河（湖）长巡河重点内容，协调推动重点难点问题解决，扎实推进河长制“见行动”“见成效”。完善建立河湖监控体系，采取信息化的监管手段，加大执法监管力度，及时发现和查处违法活动，维护河湖正常秩序。</w:t>
      </w:r>
    </w:p>
    <w:p>
      <w:pPr>
        <w:keepNext/>
        <w:keepLines/>
        <w:ind w:firstLine="602"/>
        <w:jc w:val="left"/>
        <w:outlineLvl w:val="1"/>
        <w:rPr>
          <w:rFonts w:ascii="宋体" w:hAnsi="宋体" w:cs="黑体"/>
          <w:b/>
          <w:bCs/>
          <w:color w:val="000000"/>
          <w:sz w:val="30"/>
          <w:szCs w:val="32"/>
        </w:rPr>
      </w:pPr>
      <w:bookmarkStart w:id="733" w:name="_Toc77600920"/>
      <w:bookmarkStart w:id="734" w:name="_Toc77601277"/>
      <w:bookmarkStart w:id="735" w:name="_Toc77601459"/>
      <w:bookmarkStart w:id="736" w:name="_Toc74642398"/>
      <w:r>
        <w:rPr>
          <w:rFonts w:hint="eastAsia" w:ascii="宋体" w:hAnsi="宋体" w:cs="黑体"/>
          <w:b/>
          <w:bCs/>
          <w:color w:val="000000"/>
          <w:sz w:val="30"/>
          <w:szCs w:val="32"/>
        </w:rPr>
        <w:t>（3）实施生态环境信用评价制度</w:t>
      </w:r>
      <w:bookmarkEnd w:id="733"/>
      <w:bookmarkEnd w:id="734"/>
      <w:bookmarkEnd w:id="735"/>
      <w:bookmarkEnd w:id="736"/>
      <w:bookmarkStart w:id="737" w:name="_Hlk70454970"/>
    </w:p>
    <w:p>
      <w:pPr>
        <w:ind w:firstLine="560"/>
        <w:rPr>
          <w:rFonts w:ascii="Times New Roman" w:hAnsi="Times New Roman" w:cs="Times New Roman"/>
          <w:szCs w:val="28"/>
        </w:rPr>
      </w:pPr>
      <w:r>
        <w:rPr>
          <w:rFonts w:hint="eastAsia" w:ascii="Times New Roman" w:hAnsi="Times New Roman" w:cs="Times New Roman"/>
          <w:szCs w:val="28"/>
        </w:rPr>
        <w:t>创新建立完善生态环境守信联合激励和失信联合惩戒机制，针对工业园区、排污企业，综合评价其遵守生态环境法规、履行环保承诺和合同约定、主动提升环境管理绩效等情况，评定其信用等级。针对环境违法行为，建立环境违法“黑名单”，并将黑名单向社会公开。对环境违法黑名单企事业单位及生产经营者在行政许可、公开采购、评先评优、金融支持、资质等级评定、财政补贴专项资金等方面采取综合惩戒措施。</w:t>
      </w:r>
    </w:p>
    <w:bookmarkEnd w:id="737"/>
    <w:p>
      <w:pPr>
        <w:keepNext/>
        <w:keepLines/>
        <w:ind w:firstLine="602"/>
        <w:jc w:val="left"/>
        <w:outlineLvl w:val="1"/>
        <w:rPr>
          <w:rFonts w:ascii="宋体" w:hAnsi="宋体" w:cs="黑体"/>
          <w:b/>
          <w:bCs/>
          <w:color w:val="000000"/>
          <w:sz w:val="30"/>
          <w:szCs w:val="32"/>
        </w:rPr>
      </w:pPr>
      <w:bookmarkStart w:id="738" w:name="_Toc77601278"/>
      <w:bookmarkStart w:id="739" w:name="_Toc74642399"/>
      <w:bookmarkStart w:id="740" w:name="_Toc77600921"/>
      <w:bookmarkStart w:id="741" w:name="_Toc77601460"/>
      <w:r>
        <w:rPr>
          <w:rFonts w:hint="eastAsia" w:ascii="宋体" w:hAnsi="宋体" w:cs="黑体"/>
          <w:b/>
          <w:bCs/>
          <w:color w:val="000000"/>
          <w:sz w:val="30"/>
          <w:szCs w:val="32"/>
        </w:rPr>
        <w:t>（4）划定高污染燃料禁燃区</w:t>
      </w:r>
      <w:bookmarkEnd w:id="738"/>
      <w:bookmarkEnd w:id="739"/>
      <w:bookmarkEnd w:id="740"/>
      <w:bookmarkEnd w:id="741"/>
    </w:p>
    <w:p>
      <w:pPr>
        <w:widowControl/>
        <w:shd w:val="clear" w:color="auto" w:fill="FFFFFF"/>
        <w:ind w:firstLine="560"/>
        <w:textAlignment w:val="baseline"/>
        <w:rPr>
          <w:rFonts w:ascii="Times New Roman" w:hAnsi="Times New Roman" w:cs="Times New Roman"/>
          <w:szCs w:val="28"/>
        </w:rPr>
      </w:pPr>
      <w:r>
        <w:rPr>
          <w:rFonts w:hint="eastAsia" w:ascii="Times New Roman" w:hAnsi="Times New Roman" w:cs="Times New Roman"/>
          <w:szCs w:val="28"/>
        </w:rPr>
        <w:t>加强大气污染防治，改善环境空气质量，依据《中华人民共和国大气污染防治法》、《黑龙江省大气污染防治条例》、环境保护部《高污染燃料目录》（国环规大气〔2017〕2号），结合抚远市实际情况，划定高污染燃料禁燃区。禁燃区内已有的锅炉、窑炉等燃烧设施在停止使用高污染燃料之前，有关单位和个人应当采取措施，确保排放的大气污染物达到国家规定的排放标准。禁燃区内禁止新建、改建、扩建燃用高污染燃料的锅炉、窑炉等燃烧设施（每小时35蒸吨及以上的集中供热锅炉、热电联产锅炉除外）。对违反规定的单位和个人，依据法律法规进行行政处罚。</w:t>
      </w:r>
    </w:p>
    <w:p>
      <w:pPr>
        <w:pStyle w:val="3"/>
        <w:spacing w:line="360" w:lineRule="auto"/>
        <w:ind w:firstLine="602" w:firstLineChars="200"/>
        <w:jc w:val="both"/>
        <w:rPr>
          <w:rFonts w:ascii="宋体" w:hAnsi="宋体" w:cs="黑体"/>
          <w:sz w:val="30"/>
          <w:szCs w:val="30"/>
        </w:rPr>
      </w:pPr>
      <w:bookmarkStart w:id="742" w:name="_Toc74642400"/>
      <w:bookmarkStart w:id="743" w:name="_Toc77601279"/>
      <w:bookmarkStart w:id="744" w:name="_Toc77600922"/>
      <w:bookmarkStart w:id="745" w:name="_Toc77601461"/>
      <w:r>
        <w:rPr>
          <w:rFonts w:hint="eastAsia" w:ascii="宋体" w:hAnsi="宋体" w:cs="黑体"/>
          <w:sz w:val="30"/>
          <w:szCs w:val="30"/>
        </w:rPr>
        <w:t>（五）健全环境信息公开与社会参与制度</w:t>
      </w:r>
      <w:bookmarkEnd w:id="742"/>
      <w:bookmarkEnd w:id="743"/>
      <w:bookmarkEnd w:id="744"/>
      <w:bookmarkEnd w:id="745"/>
    </w:p>
    <w:p>
      <w:pPr>
        <w:keepNext/>
        <w:keepLines/>
        <w:ind w:firstLine="602"/>
        <w:jc w:val="left"/>
        <w:outlineLvl w:val="1"/>
        <w:rPr>
          <w:rFonts w:ascii="宋体" w:hAnsi="宋体" w:cs="黑体"/>
          <w:b/>
          <w:bCs/>
          <w:color w:val="000000"/>
          <w:sz w:val="30"/>
          <w:szCs w:val="32"/>
        </w:rPr>
      </w:pPr>
      <w:bookmarkStart w:id="746" w:name="_Toc74642401"/>
      <w:bookmarkStart w:id="747" w:name="_Toc77600923"/>
      <w:bookmarkStart w:id="748" w:name="_Toc77601462"/>
      <w:bookmarkStart w:id="749" w:name="_Toc77601280"/>
      <w:bookmarkStart w:id="750" w:name="OLE_LINK15"/>
      <w:bookmarkStart w:id="751" w:name="_Hlk70455246"/>
      <w:r>
        <w:rPr>
          <w:rFonts w:hint="eastAsia" w:ascii="宋体" w:hAnsi="宋体" w:cs="黑体"/>
          <w:b/>
          <w:bCs/>
          <w:color w:val="000000"/>
          <w:sz w:val="30"/>
          <w:szCs w:val="32"/>
        </w:rPr>
        <w:t>（1）完善信息公开制度</w:t>
      </w:r>
      <w:bookmarkEnd w:id="746"/>
      <w:bookmarkEnd w:id="747"/>
      <w:bookmarkEnd w:id="748"/>
      <w:bookmarkEnd w:id="749"/>
    </w:p>
    <w:p>
      <w:pPr>
        <w:widowControl/>
        <w:shd w:val="clear" w:color="auto" w:fill="FFFFFF"/>
        <w:ind w:firstLine="560"/>
        <w:textAlignment w:val="baseline"/>
        <w:rPr>
          <w:rFonts w:ascii="Times New Roman" w:hAnsi="Times New Roman" w:cs="Times New Roman"/>
          <w:szCs w:val="28"/>
        </w:rPr>
      </w:pPr>
      <w:r>
        <w:rPr>
          <w:rFonts w:hint="eastAsia" w:ascii="Times New Roman" w:hAnsi="Times New Roman" w:cs="Times New Roman"/>
          <w:szCs w:val="28"/>
        </w:rPr>
        <w:t>增强行政执法单位履职履责透明度，规范和加强抚远市政府门户网站行政执法信息公专栏（以下称专栏）的信息发布管理，确保发布信息的安全、准确、及时、充实，充分发挥行政执法信息对外宣传、引导的积极作用，有力展示和提升抚远市行政执法单位的社会形象，促进全市行政执法各项工作的有序发展，保障抚远市政府门户网站安全正常运行，根据国家有关规定和法律，结合抚远市行政执法单位工作实际，制定的抚远市信息公开制度。信息公开的内容包括：行政执法“三项制度”的相关办法；行政执法单位事前应向群众公开公示的内容，包括办事流程图、行政执法主体、人员资质情况、“双随机-公开”抽查检查清单、服务指南、投诉举报渠道、工作计划、权力清单、执法依据等；行政执法单位事后应公开行政执法结果，主要包括行政许可、行政处罚、行政强制相关信息和行政执法工作简报。所有发布的信息必须由单位分管领导审查，经主要负责人同意后才发布。</w:t>
      </w:r>
    </w:p>
    <w:bookmarkEnd w:id="750"/>
    <w:bookmarkEnd w:id="751"/>
    <w:p>
      <w:pPr>
        <w:widowControl/>
        <w:shd w:val="clear" w:color="auto" w:fill="FFFFFF"/>
        <w:ind w:firstLine="560"/>
        <w:textAlignment w:val="baseline"/>
        <w:rPr>
          <w:rFonts w:ascii="Times New Roman" w:hAnsi="Times New Roman" w:cs="Times New Roman"/>
          <w:szCs w:val="28"/>
        </w:rPr>
      </w:pPr>
      <w:r>
        <w:rPr>
          <w:rFonts w:hint="eastAsia" w:ascii="Times New Roman" w:hAnsi="Times New Roman" w:cs="Times New Roman"/>
          <w:szCs w:val="28"/>
        </w:rPr>
        <w:t>网站信息发布采用记分制考核。年底将各单位得分进行通报，评分结果纳入各单位上年度目标责任制考核成绩。对在网站信息发布工作中做出突出成绩的单位和个人予以表彰。对不及时报送信息，导致信息发布工作出现失误的单位和个人予以通报，对造成严重不良后果的追究相关责任。</w:t>
      </w:r>
    </w:p>
    <w:p>
      <w:pPr>
        <w:keepNext/>
        <w:keepLines/>
        <w:ind w:firstLine="602"/>
        <w:jc w:val="left"/>
        <w:outlineLvl w:val="1"/>
        <w:rPr>
          <w:rFonts w:ascii="宋体" w:hAnsi="宋体" w:cs="黑体"/>
          <w:b/>
          <w:bCs/>
          <w:color w:val="000000"/>
          <w:sz w:val="30"/>
          <w:szCs w:val="32"/>
        </w:rPr>
      </w:pPr>
      <w:bookmarkStart w:id="752" w:name="_Toc77601281"/>
      <w:bookmarkStart w:id="753" w:name="_Toc77601463"/>
      <w:bookmarkStart w:id="754" w:name="_Toc74642402"/>
      <w:bookmarkStart w:id="755" w:name="_Toc77600924"/>
      <w:r>
        <w:rPr>
          <w:rFonts w:hint="eastAsia" w:ascii="宋体" w:hAnsi="宋体" w:cs="黑体"/>
          <w:b/>
          <w:bCs/>
          <w:color w:val="000000"/>
          <w:sz w:val="30"/>
          <w:szCs w:val="32"/>
        </w:rPr>
        <w:t>（2）建立完善环境决策科学机制</w:t>
      </w:r>
      <w:bookmarkEnd w:id="752"/>
      <w:bookmarkEnd w:id="753"/>
      <w:bookmarkEnd w:id="754"/>
      <w:bookmarkEnd w:id="755"/>
    </w:p>
    <w:p>
      <w:pPr>
        <w:ind w:firstLine="560"/>
        <w:rPr>
          <w:rFonts w:ascii="Times New Roman" w:hAnsi="Times New Roman" w:cs="Times New Roman"/>
          <w:szCs w:val="28"/>
        </w:rPr>
      </w:pPr>
      <w:r>
        <w:rPr>
          <w:rFonts w:hint="eastAsia" w:ascii="Times New Roman" w:hAnsi="Times New Roman" w:cs="Times New Roman"/>
          <w:szCs w:val="28"/>
        </w:rPr>
        <w:t>定期召开环境形势分析会，实现环境形势分析常态化，逐步将环境形势分析上升到与经济形势分析同等重要的地位。完善环境与发展综合决策机制，在城市规划建设、资源开发利用、重大产业布局等重大决策过程中，优先考虑生态环境的承载能力，充分评估可能产生的环境影响，避免决策失误对生态环境造成破坏。进一步健全公众参与机制，适时成立抚远市生态环境保护专家委员会，对重大决策进行预先咨询和评估认证，完善重大项目公示、听证制度，增强决策的科学性和民主性。</w:t>
      </w:r>
    </w:p>
    <w:p>
      <w:pPr>
        <w:keepNext/>
        <w:keepLines/>
        <w:ind w:firstLine="602"/>
        <w:jc w:val="left"/>
        <w:outlineLvl w:val="1"/>
        <w:rPr>
          <w:rFonts w:ascii="宋体" w:hAnsi="宋体" w:cs="黑体"/>
          <w:b/>
          <w:bCs/>
          <w:color w:val="000000"/>
          <w:sz w:val="30"/>
          <w:szCs w:val="32"/>
        </w:rPr>
      </w:pPr>
      <w:bookmarkStart w:id="756" w:name="_Toc77601464"/>
      <w:bookmarkStart w:id="757" w:name="_Toc74642403"/>
      <w:bookmarkStart w:id="758" w:name="_Toc77601282"/>
      <w:bookmarkStart w:id="759" w:name="_Toc77600925"/>
      <w:r>
        <w:rPr>
          <w:rFonts w:hint="eastAsia" w:ascii="宋体" w:hAnsi="宋体" w:cs="黑体"/>
          <w:b/>
          <w:bCs/>
          <w:color w:val="000000"/>
          <w:sz w:val="30"/>
          <w:szCs w:val="32"/>
        </w:rPr>
        <w:t>（3）健全</w:t>
      </w:r>
      <w:bookmarkStart w:id="760" w:name="_Hlk70452874"/>
      <w:r>
        <w:rPr>
          <w:rFonts w:hint="eastAsia" w:ascii="宋体" w:hAnsi="宋体" w:cs="黑体"/>
          <w:b/>
          <w:bCs/>
          <w:color w:val="000000"/>
          <w:sz w:val="30"/>
          <w:szCs w:val="32"/>
        </w:rPr>
        <w:t>公众参与监督制度</w:t>
      </w:r>
      <w:bookmarkEnd w:id="756"/>
      <w:bookmarkEnd w:id="757"/>
      <w:bookmarkEnd w:id="758"/>
      <w:bookmarkEnd w:id="759"/>
      <w:bookmarkEnd w:id="760"/>
    </w:p>
    <w:p>
      <w:pPr>
        <w:ind w:firstLine="560"/>
        <w:rPr>
          <w:rFonts w:ascii="Times New Roman" w:hAnsi="Times New Roman" w:cs="Times New Roman"/>
          <w:szCs w:val="28"/>
        </w:rPr>
      </w:pPr>
      <w:r>
        <w:rPr>
          <w:rFonts w:ascii="Times New Roman" w:hAnsi="Times New Roman" w:cs="Times New Roman"/>
          <w:szCs w:val="28"/>
        </w:rPr>
        <w:t>完善健全公众参与监督机制，让当地群众积极参与到与自己利害相关的环境保护工作中，既可让公众更多了解环境状况和工作情况，又可以把群众的呼声和意愿作为指导环境保护工作的第一信号，从而，不仅能够解决好群众关心的环境热点问题，还可以调动各方面力量来推动环保工作。建立和完善</w:t>
      </w:r>
      <w:r>
        <w:rPr>
          <w:rFonts w:hint="eastAsia" w:ascii="Times New Roman" w:hAnsi="Times New Roman" w:cs="Times New Roman"/>
          <w:szCs w:val="28"/>
        </w:rPr>
        <w:t>抚远</w:t>
      </w:r>
      <w:r>
        <w:rPr>
          <w:rFonts w:ascii="Times New Roman" w:hAnsi="Times New Roman" w:cs="Times New Roman"/>
          <w:szCs w:val="28"/>
        </w:rPr>
        <w:t>环境保护公众参与监督机制主要体现在以下几方面：</w:t>
      </w:r>
    </w:p>
    <w:p>
      <w:pPr>
        <w:ind w:firstLine="562"/>
        <w:rPr>
          <w:rFonts w:ascii="Times New Roman" w:hAnsi="Times New Roman" w:cs="Times New Roman"/>
          <w:szCs w:val="28"/>
        </w:rPr>
      </w:pPr>
      <w:r>
        <w:rPr>
          <w:rFonts w:ascii="Times New Roman" w:hAnsi="Times New Roman" w:cs="Times New Roman"/>
          <w:b/>
          <w:szCs w:val="28"/>
        </w:rPr>
        <w:t>——</w:t>
      </w:r>
      <w:r>
        <w:rPr>
          <w:rFonts w:ascii="Times New Roman" w:hAnsi="Times New Roman" w:cs="Times New Roman"/>
          <w:b/>
          <w:bCs/>
          <w:szCs w:val="28"/>
        </w:rPr>
        <w:t>健全公众参与机制。</w:t>
      </w:r>
      <w:r>
        <w:rPr>
          <w:rFonts w:ascii="Times New Roman" w:hAnsi="Times New Roman" w:cs="Times New Roman"/>
          <w:szCs w:val="28"/>
        </w:rPr>
        <w:t>制定《</w:t>
      </w:r>
      <w:r>
        <w:rPr>
          <w:rFonts w:hint="eastAsia" w:ascii="Times New Roman" w:hAnsi="Times New Roman" w:cs="Times New Roman"/>
          <w:szCs w:val="28"/>
        </w:rPr>
        <w:t>抚远市</w:t>
      </w:r>
      <w:r>
        <w:rPr>
          <w:rFonts w:ascii="Times New Roman" w:hAnsi="Times New Roman" w:cs="Times New Roman"/>
          <w:szCs w:val="28"/>
        </w:rPr>
        <w:t>公众参与环境保护办法》，明确公众参与环保的权利和义务，使公民真正参与到与自己利害相关的环境事务中，表达自己的利益诉求，并对行政权力起到良好的监督及制衡作用。</w:t>
      </w:r>
    </w:p>
    <w:p>
      <w:pPr>
        <w:ind w:firstLine="562"/>
        <w:rPr>
          <w:rFonts w:ascii="Times New Roman" w:hAnsi="Times New Roman" w:cs="Times New Roman"/>
          <w:szCs w:val="28"/>
        </w:rPr>
      </w:pPr>
      <w:r>
        <w:rPr>
          <w:rFonts w:ascii="Times New Roman" w:hAnsi="Times New Roman" w:cs="Times New Roman"/>
          <w:b/>
          <w:szCs w:val="28"/>
        </w:rPr>
        <w:t>——</w:t>
      </w:r>
      <w:r>
        <w:rPr>
          <w:rFonts w:ascii="Times New Roman" w:hAnsi="Times New Roman" w:cs="Times New Roman"/>
          <w:b/>
          <w:bCs/>
          <w:szCs w:val="28"/>
        </w:rPr>
        <w:t>制定公众参与生态环境保护工作的奖励机制，引导公众有序参与环境监管，增强公众参与积极性。</w:t>
      </w:r>
      <w:r>
        <w:rPr>
          <w:rFonts w:ascii="Times New Roman" w:hAnsi="Times New Roman" w:cs="Times New Roman"/>
          <w:szCs w:val="28"/>
        </w:rPr>
        <w:t>安排专项资金，设立环境保护奖项，对积极参与环保工作的个人或单位给予公开表扬或授予荣誉称号，对举报企业环境污染等行为进行奖励，加强社会监督。</w:t>
      </w:r>
    </w:p>
    <w:p>
      <w:pPr>
        <w:ind w:firstLine="562"/>
        <w:rPr>
          <w:rFonts w:ascii="Times New Roman" w:hAnsi="Times New Roman" w:cs="Times New Roman"/>
          <w:b/>
          <w:bCs/>
          <w:szCs w:val="28"/>
        </w:rPr>
      </w:pPr>
      <w:r>
        <w:rPr>
          <w:rFonts w:ascii="Times New Roman" w:hAnsi="Times New Roman" w:cs="Times New Roman"/>
          <w:b/>
          <w:szCs w:val="28"/>
        </w:rPr>
        <w:t>——</w:t>
      </w:r>
      <w:r>
        <w:rPr>
          <w:rFonts w:ascii="Times New Roman" w:hAnsi="Times New Roman" w:cs="Times New Roman"/>
          <w:b/>
          <w:bCs/>
          <w:szCs w:val="28"/>
        </w:rPr>
        <w:t>通过设立网站投诉举报平台，努力搭建公众参与的平台，丰富参与渠道和形式，积极推进执法公开。</w:t>
      </w:r>
    </w:p>
    <w:p>
      <w:pPr>
        <w:ind w:firstLine="562"/>
        <w:rPr>
          <w:rFonts w:ascii="宋体" w:hAnsi="宋体" w:cs="Times New Roman"/>
          <w:szCs w:val="28"/>
        </w:rPr>
      </w:pPr>
      <w:r>
        <w:rPr>
          <w:rFonts w:ascii="Times New Roman" w:hAnsi="Times New Roman" w:cs="Times New Roman"/>
          <w:b/>
          <w:szCs w:val="28"/>
        </w:rPr>
        <w:t>——</w:t>
      </w:r>
      <w:r>
        <w:rPr>
          <w:rFonts w:ascii="宋体" w:hAnsi="宋体" w:cs="Times New Roman"/>
          <w:b/>
          <w:bCs/>
          <w:szCs w:val="28"/>
        </w:rPr>
        <w:t>拓展公众参与渠道，保障公众知情权、参与权和监督权。</w:t>
      </w:r>
      <w:r>
        <w:rPr>
          <w:rFonts w:ascii="宋体" w:hAnsi="宋体" w:cs="Times New Roman"/>
          <w:szCs w:val="28"/>
        </w:rPr>
        <w:t>建立生态文明建设决策咨询、听证制度，让群众真正参与到环保工作中来，增强决策的科学性和民主性。在建设项目审批上实行先公示、后审批和审批时请群众代表参与的制度，对一些建设项目，特别是一些污染较大和环境敏感的项目，在项目的立项、环评和验收阶段都邀请群众代表参与，听取群众意见，形成环保部门、企业、公众“三位 一体”把关机制。</w:t>
      </w:r>
    </w:p>
    <w:p>
      <w:pPr>
        <w:pStyle w:val="2"/>
        <w:ind w:firstLine="600"/>
        <w:rPr>
          <w:lang w:eastAsia="zh-CN"/>
        </w:rPr>
      </w:pPr>
    </w:p>
    <w:p>
      <w:pPr>
        <w:pStyle w:val="2"/>
        <w:ind w:firstLine="600"/>
        <w:rPr>
          <w:lang w:eastAsia="zh-CN"/>
        </w:rPr>
      </w:pPr>
    </w:p>
    <w:p>
      <w:pPr>
        <w:pStyle w:val="2"/>
        <w:ind w:firstLine="600"/>
        <w:rPr>
          <w:lang w:eastAsia="zh-CN"/>
        </w:rPr>
      </w:pPr>
    </w:p>
    <w:p>
      <w:pPr>
        <w:pStyle w:val="22"/>
      </w:pPr>
      <w:bookmarkStart w:id="761" w:name="_Toc77601465"/>
      <w:bookmarkStart w:id="762" w:name="_Toc1930076786_WPSOffice_Level1"/>
      <w:bookmarkStart w:id="763" w:name="_Toc1213632479_WPSOffice_Level1"/>
      <w:bookmarkStart w:id="764" w:name="_Toc77349669"/>
      <w:bookmarkStart w:id="765" w:name="_Toc13397"/>
      <w:bookmarkStart w:id="766" w:name="_Toc77601283"/>
      <w:bookmarkStart w:id="767" w:name="_Toc77600926"/>
      <w:r>
        <w:t>第四章</w:t>
      </w:r>
      <w:r>
        <w:rPr>
          <w:rFonts w:hint="eastAsia"/>
        </w:rPr>
        <w:t xml:space="preserve">  </w:t>
      </w:r>
      <w:r>
        <w:t>重点工程</w:t>
      </w:r>
      <w:bookmarkEnd w:id="761"/>
      <w:bookmarkEnd w:id="762"/>
      <w:bookmarkEnd w:id="763"/>
      <w:bookmarkEnd w:id="764"/>
      <w:bookmarkEnd w:id="765"/>
      <w:bookmarkEnd w:id="766"/>
      <w:bookmarkEnd w:id="767"/>
    </w:p>
    <w:p>
      <w:pPr>
        <w:ind w:firstLine="560"/>
        <w:rPr>
          <w:rFonts w:ascii="Times New Roman" w:hAnsi="Times New Roman" w:cs="Times New Roman"/>
          <w:kern w:val="0"/>
          <w:szCs w:val="28"/>
        </w:rPr>
      </w:pPr>
      <w:r>
        <w:rPr>
          <w:rFonts w:ascii="Times New Roman" w:hAnsi="Times New Roman" w:cs="Times New Roman"/>
          <w:kern w:val="0"/>
          <w:szCs w:val="28"/>
        </w:rPr>
        <w:t>根据规划目标和内容，抚远市国家生态文明建设示范市建设工程包括生态文明制度完善工程、生态空间格局优化工程、生态经济绿色发展工程、生态生活宜居工程项目共计四大类90项，总投资41.45亿元。</w:t>
      </w:r>
      <w:r>
        <w:rPr>
          <w:rFonts w:hint="eastAsia" w:ascii="Times New Roman" w:hAnsi="Times New Roman" w:cs="Times New Roman"/>
          <w:kern w:val="0"/>
          <w:szCs w:val="28"/>
        </w:rPr>
        <w:t>详见各项目表。</w:t>
      </w:r>
    </w:p>
    <w:p>
      <w:pPr>
        <w:ind w:firstLine="560"/>
        <w:rPr>
          <w:rFonts w:ascii="Times New Roman" w:hAnsi="Times New Roman" w:cs="Times New Roman"/>
          <w:kern w:val="0"/>
          <w:szCs w:val="28"/>
        </w:rPr>
        <w:sectPr>
          <w:pgSz w:w="11906" w:h="16838"/>
          <w:pgMar w:top="1440" w:right="1800" w:bottom="1440" w:left="1800" w:header="851" w:footer="992" w:gutter="0"/>
          <w:cols w:space="425" w:num="1"/>
          <w:docGrid w:type="lines" w:linePitch="312" w:charSpace="0"/>
        </w:sectPr>
      </w:pPr>
    </w:p>
    <w:p>
      <w:pPr>
        <w:pStyle w:val="4"/>
      </w:pPr>
      <w:bookmarkStart w:id="768" w:name="_Toc77600927"/>
      <w:bookmarkStart w:id="769" w:name="_Toc77601284"/>
      <w:bookmarkStart w:id="770" w:name="_Toc77601466"/>
      <w:bookmarkStart w:id="771" w:name="_Hlk75681098"/>
      <w:r>
        <w:rPr>
          <w:rFonts w:hint="eastAsia"/>
        </w:rPr>
        <w:t>一、生态文明制度完善工程</w:t>
      </w:r>
      <w:bookmarkEnd w:id="768"/>
      <w:bookmarkEnd w:id="769"/>
      <w:bookmarkEnd w:id="770"/>
    </w:p>
    <w:tbl>
      <w:tblPr>
        <w:tblStyle w:val="6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559"/>
        <w:gridCol w:w="8363"/>
        <w:gridCol w:w="1559"/>
        <w:gridCol w:w="1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988" w:type="dxa"/>
            <w:vAlign w:val="center"/>
          </w:tcPr>
          <w:p>
            <w:pPr>
              <w:spacing w:line="240" w:lineRule="auto"/>
              <w:ind w:firstLine="0" w:firstLineChars="0"/>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序号</w:t>
            </w:r>
          </w:p>
        </w:tc>
        <w:tc>
          <w:tcPr>
            <w:tcW w:w="1559" w:type="dxa"/>
            <w:vAlign w:val="center"/>
          </w:tcPr>
          <w:p>
            <w:pPr>
              <w:spacing w:line="240" w:lineRule="auto"/>
              <w:ind w:firstLine="0" w:firstLineChars="0"/>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项目名称</w:t>
            </w:r>
          </w:p>
        </w:tc>
        <w:tc>
          <w:tcPr>
            <w:tcW w:w="8363" w:type="dxa"/>
            <w:vAlign w:val="center"/>
          </w:tcPr>
          <w:p>
            <w:pPr>
              <w:spacing w:line="240" w:lineRule="auto"/>
              <w:ind w:firstLine="0" w:firstLineChars="0"/>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建设内容</w:t>
            </w:r>
          </w:p>
        </w:tc>
        <w:tc>
          <w:tcPr>
            <w:tcW w:w="1559" w:type="dxa"/>
            <w:vAlign w:val="center"/>
          </w:tcPr>
          <w:p>
            <w:pPr>
              <w:spacing w:line="240" w:lineRule="auto"/>
              <w:ind w:firstLine="0" w:firstLineChars="0"/>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建设起止年限</w:t>
            </w:r>
          </w:p>
        </w:tc>
        <w:tc>
          <w:tcPr>
            <w:tcW w:w="1388" w:type="dxa"/>
            <w:vAlign w:val="center"/>
          </w:tcPr>
          <w:p>
            <w:pPr>
              <w:spacing w:line="240" w:lineRule="auto"/>
              <w:ind w:firstLine="0" w:firstLineChars="0"/>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98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1</w:t>
            </w:r>
          </w:p>
        </w:tc>
        <w:tc>
          <w:tcPr>
            <w:tcW w:w="1559"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优化生态文明建设考核机制</w:t>
            </w:r>
          </w:p>
        </w:tc>
        <w:tc>
          <w:tcPr>
            <w:tcW w:w="8363"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进一步完善党政干部实绩考核办法，细化评分方式，合理调整党政实绩考核指标赋分标准，突出生态文明建设指标权重，提高其分值和占比，确保全市生态文明建设工作指标占党政干部实绩考核的比例达到20%。</w:t>
            </w:r>
          </w:p>
        </w:tc>
        <w:tc>
          <w:tcPr>
            <w:tcW w:w="1559"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2020-2025</w:t>
            </w:r>
          </w:p>
        </w:tc>
        <w:tc>
          <w:tcPr>
            <w:tcW w:w="138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组织部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98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w:t>
            </w:r>
          </w:p>
        </w:tc>
        <w:tc>
          <w:tcPr>
            <w:tcW w:w="1559"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严格推进规划环评工作</w:t>
            </w:r>
          </w:p>
        </w:tc>
        <w:tc>
          <w:tcPr>
            <w:tcW w:w="8363"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严格落实规划环评工作，按照《环境影响评价法》及《规划环境影响评价条例》，应当开展规划环境影响评价的，做到100%执行。</w:t>
            </w:r>
          </w:p>
        </w:tc>
        <w:tc>
          <w:tcPr>
            <w:tcW w:w="1559"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2020-2025</w:t>
            </w:r>
          </w:p>
        </w:tc>
        <w:tc>
          <w:tcPr>
            <w:tcW w:w="1388"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988"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3</w:t>
            </w:r>
          </w:p>
        </w:tc>
        <w:tc>
          <w:tcPr>
            <w:tcW w:w="1559"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健全生态环境信息公开制度</w:t>
            </w:r>
          </w:p>
        </w:tc>
        <w:tc>
          <w:tcPr>
            <w:tcW w:w="8363"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积极健全环境信息公开机制，充分利用电视、广播、报刊、“三微一端”等新闻媒体，及时向社会公开环境信息，确保全市生态环境信息公开率达到100%。</w:t>
            </w:r>
          </w:p>
        </w:tc>
        <w:tc>
          <w:tcPr>
            <w:tcW w:w="1559"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2020-2025</w:t>
            </w:r>
          </w:p>
        </w:tc>
        <w:tc>
          <w:tcPr>
            <w:tcW w:w="138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生态环境局</w:t>
            </w:r>
          </w:p>
        </w:tc>
      </w:tr>
    </w:tbl>
    <w:p>
      <w:pPr>
        <w:pStyle w:val="4"/>
      </w:pPr>
      <w:bookmarkStart w:id="772" w:name="_Toc77600928"/>
      <w:bookmarkStart w:id="773" w:name="_Toc77601285"/>
      <w:bookmarkStart w:id="774" w:name="_Toc77601467"/>
      <w:r>
        <w:rPr>
          <w:rFonts w:hint="eastAsia"/>
        </w:rPr>
        <w:t>二、生态空间格局优化工程</w:t>
      </w:r>
      <w:bookmarkEnd w:id="772"/>
      <w:bookmarkEnd w:id="773"/>
      <w:bookmarkEnd w:id="774"/>
    </w:p>
    <w:tbl>
      <w:tblPr>
        <w:tblStyle w:val="6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877"/>
        <w:gridCol w:w="1233"/>
        <w:gridCol w:w="4536"/>
        <w:gridCol w:w="1560"/>
        <w:gridCol w:w="1417"/>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988" w:type="dxa"/>
            <w:vAlign w:val="center"/>
          </w:tcPr>
          <w:p>
            <w:pPr>
              <w:spacing w:line="240" w:lineRule="auto"/>
              <w:ind w:firstLine="0" w:firstLineChars="0"/>
              <w:jc w:val="center"/>
              <w:rPr>
                <w:rFonts w:ascii="Times New Roman" w:hAnsi="Times New Roman"/>
                <w:b/>
                <w:bCs/>
                <w:color w:val="000000"/>
                <w:kern w:val="0"/>
                <w:sz w:val="21"/>
                <w:szCs w:val="21"/>
              </w:rPr>
            </w:pPr>
            <w:r>
              <w:rPr>
                <w:rFonts w:hint="eastAsia" w:ascii="Times New Roman" w:hAnsi="Times New Roman" w:cs="Times New Roman"/>
                <w:b/>
                <w:bCs/>
                <w:color w:val="000000"/>
                <w:kern w:val="0"/>
                <w:sz w:val="21"/>
                <w:szCs w:val="21"/>
              </w:rPr>
              <w:t>序号</w:t>
            </w:r>
          </w:p>
        </w:tc>
        <w:tc>
          <w:tcPr>
            <w:tcW w:w="2877" w:type="dxa"/>
            <w:vAlign w:val="center"/>
          </w:tcPr>
          <w:p>
            <w:pPr>
              <w:spacing w:line="240" w:lineRule="auto"/>
              <w:ind w:firstLine="0" w:firstLineChars="0"/>
              <w:jc w:val="center"/>
              <w:rPr>
                <w:rFonts w:ascii="Times New Roman" w:hAnsi="Times New Roman"/>
                <w:b/>
                <w:bCs/>
                <w:color w:val="000000"/>
                <w:kern w:val="0"/>
                <w:sz w:val="21"/>
                <w:szCs w:val="21"/>
              </w:rPr>
            </w:pPr>
            <w:r>
              <w:rPr>
                <w:rFonts w:hint="eastAsia" w:ascii="Times New Roman" w:hAnsi="Times New Roman" w:cs="Times New Roman"/>
                <w:b/>
                <w:bCs/>
                <w:color w:val="000000"/>
                <w:kern w:val="0"/>
                <w:sz w:val="21"/>
                <w:szCs w:val="21"/>
              </w:rPr>
              <w:t>项目名称</w:t>
            </w:r>
          </w:p>
        </w:tc>
        <w:tc>
          <w:tcPr>
            <w:tcW w:w="1233" w:type="dxa"/>
            <w:vAlign w:val="center"/>
          </w:tcPr>
          <w:p>
            <w:pPr>
              <w:spacing w:line="240" w:lineRule="auto"/>
              <w:ind w:firstLine="0" w:firstLineChars="0"/>
              <w:jc w:val="center"/>
              <w:rPr>
                <w:rFonts w:ascii="Times New Roman" w:hAnsi="Times New Roman"/>
                <w:b/>
                <w:bCs/>
                <w:color w:val="000000"/>
                <w:kern w:val="0"/>
                <w:sz w:val="21"/>
                <w:szCs w:val="21"/>
              </w:rPr>
            </w:pPr>
            <w:r>
              <w:rPr>
                <w:rFonts w:hint="eastAsia" w:ascii="Times New Roman" w:hAnsi="Times New Roman" w:cs="Times New Roman"/>
                <w:b/>
                <w:bCs/>
                <w:color w:val="000000"/>
                <w:kern w:val="0"/>
                <w:sz w:val="21"/>
                <w:szCs w:val="21"/>
              </w:rPr>
              <w:t>建设地点</w:t>
            </w:r>
          </w:p>
        </w:tc>
        <w:tc>
          <w:tcPr>
            <w:tcW w:w="4536" w:type="dxa"/>
            <w:vAlign w:val="center"/>
          </w:tcPr>
          <w:p>
            <w:pPr>
              <w:spacing w:line="240" w:lineRule="auto"/>
              <w:ind w:firstLine="0" w:firstLineChars="0"/>
              <w:jc w:val="center"/>
              <w:rPr>
                <w:rFonts w:ascii="Times New Roman" w:hAnsi="Times New Roman"/>
                <w:b/>
                <w:bCs/>
                <w:color w:val="000000"/>
                <w:kern w:val="0"/>
                <w:sz w:val="21"/>
                <w:szCs w:val="21"/>
              </w:rPr>
            </w:pPr>
            <w:r>
              <w:rPr>
                <w:rFonts w:hint="eastAsia" w:ascii="Times New Roman" w:hAnsi="Times New Roman" w:cs="Times New Roman"/>
                <w:b/>
                <w:bCs/>
                <w:color w:val="000000"/>
                <w:kern w:val="0"/>
                <w:sz w:val="21"/>
                <w:szCs w:val="21"/>
              </w:rPr>
              <w:t>建设内容</w:t>
            </w:r>
          </w:p>
        </w:tc>
        <w:tc>
          <w:tcPr>
            <w:tcW w:w="1560" w:type="dxa"/>
            <w:noWrap/>
            <w:vAlign w:val="center"/>
          </w:tcPr>
          <w:p>
            <w:pPr>
              <w:spacing w:line="240" w:lineRule="auto"/>
              <w:ind w:firstLine="0" w:firstLineChars="0"/>
              <w:jc w:val="center"/>
              <w:rPr>
                <w:rFonts w:ascii="Times New Roman" w:hAnsi="Times New Roman"/>
                <w:b/>
                <w:bCs/>
                <w:color w:val="000000"/>
                <w:kern w:val="0"/>
                <w:sz w:val="21"/>
                <w:szCs w:val="21"/>
              </w:rPr>
            </w:pPr>
            <w:r>
              <w:rPr>
                <w:rFonts w:hint="eastAsia" w:ascii="Times New Roman" w:hAnsi="Times New Roman" w:cs="Times New Roman"/>
                <w:b/>
                <w:bCs/>
                <w:color w:val="000000"/>
                <w:kern w:val="0"/>
                <w:sz w:val="21"/>
                <w:szCs w:val="21"/>
              </w:rPr>
              <w:t>建设起止年限</w:t>
            </w:r>
          </w:p>
        </w:tc>
        <w:tc>
          <w:tcPr>
            <w:tcW w:w="1417" w:type="dxa"/>
            <w:vAlign w:val="center"/>
          </w:tcPr>
          <w:p>
            <w:pPr>
              <w:spacing w:line="240" w:lineRule="auto"/>
              <w:ind w:firstLine="0" w:firstLineChars="0"/>
              <w:jc w:val="center"/>
              <w:rPr>
                <w:rFonts w:ascii="Times New Roman" w:hAnsi="Times New Roman"/>
                <w:b/>
                <w:bCs/>
                <w:color w:val="000000"/>
                <w:kern w:val="0"/>
                <w:sz w:val="21"/>
                <w:szCs w:val="21"/>
              </w:rPr>
            </w:pPr>
            <w:r>
              <w:rPr>
                <w:rFonts w:hint="eastAsia" w:ascii="Times New Roman" w:hAnsi="Times New Roman" w:cs="Times New Roman"/>
                <w:b/>
                <w:bCs/>
                <w:color w:val="000000"/>
                <w:kern w:val="0"/>
                <w:sz w:val="21"/>
                <w:szCs w:val="21"/>
              </w:rPr>
              <w:t>投资金额（万元）</w:t>
            </w:r>
          </w:p>
        </w:tc>
        <w:tc>
          <w:tcPr>
            <w:tcW w:w="1337" w:type="dxa"/>
            <w:noWrap/>
            <w:vAlign w:val="center"/>
          </w:tcPr>
          <w:p>
            <w:pPr>
              <w:spacing w:line="240" w:lineRule="auto"/>
              <w:ind w:firstLine="0" w:firstLineChars="0"/>
              <w:jc w:val="center"/>
              <w:rPr>
                <w:rFonts w:ascii="Times New Roman" w:hAnsi="Times New Roman"/>
                <w:b/>
                <w:bCs/>
                <w:color w:val="000000"/>
                <w:kern w:val="0"/>
                <w:sz w:val="21"/>
                <w:szCs w:val="21"/>
              </w:rPr>
            </w:pPr>
            <w:r>
              <w:rPr>
                <w:rFonts w:hint="eastAsia" w:ascii="Times New Roman" w:hAnsi="Times New Roman" w:cs="Times New Roman"/>
                <w:b/>
                <w:bCs/>
                <w:color w:val="000000"/>
                <w:kern w:val="0"/>
                <w:sz w:val="21"/>
                <w:szCs w:val="21"/>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98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1</w:t>
            </w:r>
          </w:p>
        </w:tc>
        <w:tc>
          <w:tcPr>
            <w:tcW w:w="2877"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黑龙江（抚远段）支流伟华滨河生态环境综合治理工程</w:t>
            </w:r>
          </w:p>
        </w:tc>
        <w:tc>
          <w:tcPr>
            <w:tcW w:w="1233"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w:t>
            </w:r>
          </w:p>
        </w:tc>
        <w:tc>
          <w:tcPr>
            <w:tcW w:w="4536"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伟华滨河整治河道3520米、绿化99800平方米、截污管线4181米</w:t>
            </w:r>
          </w:p>
        </w:tc>
        <w:tc>
          <w:tcPr>
            <w:tcW w:w="1560"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2019-202</w:t>
            </w:r>
            <w:r>
              <w:rPr>
                <w:rFonts w:hint="eastAsia" w:ascii="Times New Roman" w:hAnsi="Times New Roman" w:cs="Times New Roman"/>
                <w:kern w:val="0"/>
                <w:sz w:val="21"/>
                <w:szCs w:val="20"/>
              </w:rPr>
              <w:t>1</w:t>
            </w:r>
          </w:p>
        </w:tc>
        <w:tc>
          <w:tcPr>
            <w:tcW w:w="1417" w:type="dxa"/>
            <w:vAlign w:val="center"/>
          </w:tcPr>
          <w:p>
            <w:pPr>
              <w:spacing w:line="240" w:lineRule="auto"/>
              <w:ind w:firstLine="0" w:firstLineChars="0"/>
              <w:jc w:val="center"/>
              <w:rPr>
                <w:rFonts w:ascii="Times New Roman" w:hAnsi="Times New Roman" w:cs="Times New Roman"/>
                <w:kern w:val="0"/>
                <w:sz w:val="21"/>
                <w:szCs w:val="20"/>
              </w:rPr>
            </w:pPr>
            <w:r>
              <w:rPr>
                <w:rFonts w:hint="eastAsia" w:ascii="Times New Roman" w:hAnsi="Times New Roman" w:cs="Times New Roman"/>
                <w:kern w:val="0"/>
                <w:sz w:val="21"/>
                <w:szCs w:val="20"/>
              </w:rPr>
              <w:t>4697.1</w:t>
            </w:r>
          </w:p>
        </w:tc>
        <w:tc>
          <w:tcPr>
            <w:tcW w:w="1337"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住建局</w:t>
            </w:r>
            <w:r>
              <w:rPr>
                <w:rFonts w:hint="eastAsia" w:ascii="Times New Roman" w:hAnsi="Times New Roman" w:cs="Times New Roman"/>
                <w:kern w:val="0"/>
                <w:sz w:val="21"/>
                <w:szCs w:val="20"/>
              </w:rPr>
              <w:t>；抚远市供排水公司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98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w:t>
            </w:r>
          </w:p>
        </w:tc>
        <w:tc>
          <w:tcPr>
            <w:tcW w:w="2877"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防护三期工程</w:t>
            </w:r>
          </w:p>
        </w:tc>
        <w:tc>
          <w:tcPr>
            <w:tcW w:w="1233"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w:t>
            </w:r>
          </w:p>
        </w:tc>
        <w:tc>
          <w:tcPr>
            <w:tcW w:w="4536"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抚远段防护长度10公里</w:t>
            </w:r>
          </w:p>
        </w:tc>
        <w:tc>
          <w:tcPr>
            <w:tcW w:w="1560"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2019-2020</w:t>
            </w:r>
          </w:p>
        </w:tc>
        <w:tc>
          <w:tcPr>
            <w:tcW w:w="1417"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11900</w:t>
            </w:r>
          </w:p>
        </w:tc>
        <w:tc>
          <w:tcPr>
            <w:tcW w:w="1337"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988"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3</w:t>
            </w:r>
          </w:p>
        </w:tc>
        <w:tc>
          <w:tcPr>
            <w:tcW w:w="2877"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抚远市黑鱼泡河右岸</w:t>
            </w:r>
          </w:p>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治理工程</w:t>
            </w:r>
          </w:p>
        </w:tc>
        <w:tc>
          <w:tcPr>
            <w:tcW w:w="1233"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w:t>
            </w:r>
          </w:p>
        </w:tc>
        <w:tc>
          <w:tcPr>
            <w:tcW w:w="4536"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土堤加高培厚</w:t>
            </w:r>
          </w:p>
        </w:tc>
        <w:tc>
          <w:tcPr>
            <w:tcW w:w="1560"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2021</w:t>
            </w:r>
          </w:p>
        </w:tc>
        <w:tc>
          <w:tcPr>
            <w:tcW w:w="1417"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2000</w:t>
            </w:r>
          </w:p>
        </w:tc>
        <w:tc>
          <w:tcPr>
            <w:tcW w:w="1337"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988"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4</w:t>
            </w:r>
          </w:p>
        </w:tc>
        <w:tc>
          <w:tcPr>
            <w:tcW w:w="2877"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抚远市鸭绿河防洪工程</w:t>
            </w:r>
          </w:p>
        </w:tc>
        <w:tc>
          <w:tcPr>
            <w:tcW w:w="1233"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w:t>
            </w:r>
          </w:p>
        </w:tc>
        <w:tc>
          <w:tcPr>
            <w:tcW w:w="4536"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建设防洪岸线共23.6公里</w:t>
            </w:r>
          </w:p>
        </w:tc>
        <w:tc>
          <w:tcPr>
            <w:tcW w:w="1560"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2020</w:t>
            </w:r>
          </w:p>
        </w:tc>
        <w:tc>
          <w:tcPr>
            <w:tcW w:w="1417"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2275</w:t>
            </w:r>
          </w:p>
        </w:tc>
        <w:tc>
          <w:tcPr>
            <w:tcW w:w="1337"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水务局</w:t>
            </w:r>
          </w:p>
        </w:tc>
      </w:tr>
    </w:tbl>
    <w:p>
      <w:pPr>
        <w:pStyle w:val="4"/>
      </w:pPr>
      <w:bookmarkStart w:id="775" w:name="_Toc77601286"/>
      <w:bookmarkStart w:id="776" w:name="_Toc77601468"/>
      <w:bookmarkStart w:id="777" w:name="_Toc77600929"/>
      <w:r>
        <w:rPr>
          <w:rFonts w:hint="eastAsia"/>
        </w:rPr>
        <w:t>三、生态经济绿色发展工程</w:t>
      </w:r>
      <w:bookmarkEnd w:id="775"/>
      <w:bookmarkEnd w:id="776"/>
      <w:bookmarkEnd w:id="777"/>
    </w:p>
    <w:tbl>
      <w:tblPr>
        <w:tblStyle w:val="65"/>
        <w:tblW w:w="13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268"/>
        <w:gridCol w:w="1984"/>
        <w:gridCol w:w="4678"/>
        <w:gridCol w:w="1559"/>
        <w:gridCol w:w="1276"/>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3948" w:type="dxa"/>
            <w:gridSpan w:val="7"/>
            <w:noWrap/>
            <w:vAlign w:val="center"/>
          </w:tcPr>
          <w:p>
            <w:pPr>
              <w:spacing w:line="240" w:lineRule="auto"/>
              <w:ind w:firstLine="0" w:firstLineChars="0"/>
              <w:jc w:val="center"/>
              <w:rPr>
                <w:rFonts w:ascii="Times New Roman" w:hAnsi="Times New Roman" w:cs="Times New Roman"/>
                <w:b/>
                <w:bCs/>
                <w:color w:val="000000"/>
                <w:kern w:val="0"/>
                <w:sz w:val="21"/>
                <w:szCs w:val="21"/>
              </w:rPr>
            </w:pPr>
            <w:r>
              <w:rPr>
                <w:rFonts w:hint="eastAsia" w:ascii="Times New Roman" w:hAnsi="Times New Roman" w:cs="Times New Roman"/>
                <w:b/>
                <w:bCs/>
                <w:color w:val="000000"/>
                <w:kern w:val="0"/>
                <w:szCs w:val="28"/>
              </w:rPr>
              <w:t>农业改造项目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846" w:type="dxa"/>
            <w:noWrap/>
            <w:vAlign w:val="center"/>
          </w:tcPr>
          <w:p>
            <w:pPr>
              <w:spacing w:line="240" w:lineRule="auto"/>
              <w:ind w:firstLine="0" w:firstLineChars="0"/>
              <w:jc w:val="center"/>
              <w:rPr>
                <w:rFonts w:ascii="Times New Roman" w:hAnsi="Times New Roman"/>
                <w:b/>
                <w:bCs/>
                <w:color w:val="000000"/>
                <w:kern w:val="0"/>
                <w:sz w:val="21"/>
                <w:szCs w:val="21"/>
              </w:rPr>
            </w:pPr>
            <w:r>
              <w:rPr>
                <w:rFonts w:hint="eastAsia" w:ascii="Times New Roman" w:hAnsi="Times New Roman" w:cs="Times New Roman"/>
                <w:b/>
                <w:bCs/>
                <w:color w:val="000000"/>
                <w:kern w:val="0"/>
                <w:sz w:val="21"/>
                <w:szCs w:val="21"/>
              </w:rPr>
              <w:t>序号</w:t>
            </w:r>
          </w:p>
        </w:tc>
        <w:tc>
          <w:tcPr>
            <w:tcW w:w="2268" w:type="dxa"/>
            <w:vAlign w:val="center"/>
          </w:tcPr>
          <w:p>
            <w:pPr>
              <w:spacing w:line="240" w:lineRule="auto"/>
              <w:ind w:firstLine="0" w:firstLineChars="0"/>
              <w:jc w:val="center"/>
              <w:rPr>
                <w:rFonts w:ascii="Times New Roman" w:hAnsi="Times New Roman"/>
                <w:b/>
                <w:bCs/>
                <w:color w:val="000000"/>
                <w:kern w:val="0"/>
                <w:sz w:val="21"/>
                <w:szCs w:val="21"/>
              </w:rPr>
            </w:pPr>
            <w:r>
              <w:rPr>
                <w:rFonts w:hint="eastAsia" w:ascii="Times New Roman" w:hAnsi="Times New Roman" w:cs="Times New Roman"/>
                <w:b/>
                <w:bCs/>
                <w:color w:val="000000"/>
                <w:kern w:val="0"/>
                <w:sz w:val="21"/>
                <w:szCs w:val="21"/>
              </w:rPr>
              <w:t>项目名称</w:t>
            </w:r>
          </w:p>
        </w:tc>
        <w:tc>
          <w:tcPr>
            <w:tcW w:w="1984" w:type="dxa"/>
            <w:vAlign w:val="center"/>
          </w:tcPr>
          <w:p>
            <w:pPr>
              <w:spacing w:line="240" w:lineRule="auto"/>
              <w:ind w:firstLine="0" w:firstLineChars="0"/>
              <w:jc w:val="center"/>
              <w:rPr>
                <w:rFonts w:ascii="Times New Roman" w:hAnsi="Times New Roman"/>
                <w:b/>
                <w:bCs/>
                <w:color w:val="000000"/>
                <w:kern w:val="0"/>
                <w:sz w:val="21"/>
                <w:szCs w:val="21"/>
              </w:rPr>
            </w:pPr>
            <w:r>
              <w:rPr>
                <w:rFonts w:hint="eastAsia" w:ascii="Times New Roman" w:hAnsi="Times New Roman" w:cs="Times New Roman"/>
                <w:b/>
                <w:bCs/>
                <w:color w:val="000000"/>
                <w:kern w:val="0"/>
                <w:sz w:val="21"/>
                <w:szCs w:val="21"/>
              </w:rPr>
              <w:t>建设地点</w:t>
            </w:r>
          </w:p>
        </w:tc>
        <w:tc>
          <w:tcPr>
            <w:tcW w:w="4678" w:type="dxa"/>
            <w:vAlign w:val="center"/>
          </w:tcPr>
          <w:p>
            <w:pPr>
              <w:spacing w:line="240" w:lineRule="auto"/>
              <w:ind w:firstLine="0" w:firstLineChars="0"/>
              <w:jc w:val="center"/>
              <w:rPr>
                <w:rFonts w:ascii="Times New Roman" w:hAnsi="Times New Roman"/>
                <w:b/>
                <w:bCs/>
                <w:color w:val="000000"/>
                <w:kern w:val="0"/>
                <w:sz w:val="21"/>
                <w:szCs w:val="21"/>
              </w:rPr>
            </w:pPr>
            <w:r>
              <w:rPr>
                <w:rFonts w:hint="eastAsia" w:ascii="Times New Roman" w:hAnsi="Times New Roman" w:cs="Times New Roman"/>
                <w:b/>
                <w:bCs/>
                <w:color w:val="000000"/>
                <w:kern w:val="0"/>
                <w:sz w:val="21"/>
                <w:szCs w:val="21"/>
              </w:rPr>
              <w:t>建设内容</w:t>
            </w:r>
          </w:p>
        </w:tc>
        <w:tc>
          <w:tcPr>
            <w:tcW w:w="1559" w:type="dxa"/>
            <w:vAlign w:val="center"/>
          </w:tcPr>
          <w:p>
            <w:pPr>
              <w:spacing w:line="240" w:lineRule="auto"/>
              <w:ind w:firstLine="0" w:firstLineChars="0"/>
              <w:jc w:val="center"/>
              <w:rPr>
                <w:rFonts w:ascii="Times New Roman" w:hAnsi="Times New Roman"/>
                <w:b/>
                <w:bCs/>
                <w:color w:val="000000"/>
                <w:kern w:val="0"/>
                <w:sz w:val="21"/>
                <w:szCs w:val="21"/>
              </w:rPr>
            </w:pPr>
            <w:r>
              <w:rPr>
                <w:rFonts w:hint="eastAsia" w:ascii="Times New Roman" w:hAnsi="Times New Roman" w:cs="Times New Roman"/>
                <w:b/>
                <w:bCs/>
                <w:color w:val="000000"/>
                <w:kern w:val="0"/>
                <w:sz w:val="21"/>
                <w:szCs w:val="21"/>
              </w:rPr>
              <w:t>建设起止年限</w:t>
            </w:r>
          </w:p>
        </w:tc>
        <w:tc>
          <w:tcPr>
            <w:tcW w:w="1276" w:type="dxa"/>
            <w:vAlign w:val="center"/>
          </w:tcPr>
          <w:p>
            <w:pPr>
              <w:spacing w:line="240" w:lineRule="auto"/>
              <w:ind w:firstLine="0" w:firstLineChars="0"/>
              <w:jc w:val="center"/>
              <w:rPr>
                <w:rFonts w:ascii="Times New Roman" w:hAnsi="Times New Roman"/>
                <w:b/>
                <w:bCs/>
                <w:color w:val="000000"/>
                <w:kern w:val="0"/>
                <w:sz w:val="21"/>
                <w:szCs w:val="21"/>
              </w:rPr>
            </w:pPr>
            <w:r>
              <w:rPr>
                <w:rFonts w:hint="eastAsia" w:ascii="Times New Roman" w:hAnsi="Times New Roman" w:cs="Times New Roman"/>
                <w:b/>
                <w:bCs/>
                <w:color w:val="000000"/>
                <w:kern w:val="0"/>
                <w:sz w:val="21"/>
                <w:szCs w:val="21"/>
              </w:rPr>
              <w:t>投资金额（万元）</w:t>
            </w:r>
          </w:p>
        </w:tc>
        <w:tc>
          <w:tcPr>
            <w:tcW w:w="1337" w:type="dxa"/>
            <w:noWrap/>
            <w:vAlign w:val="center"/>
          </w:tcPr>
          <w:p>
            <w:pPr>
              <w:spacing w:line="240" w:lineRule="auto"/>
              <w:ind w:firstLine="0" w:firstLineChars="0"/>
              <w:jc w:val="center"/>
              <w:rPr>
                <w:rFonts w:ascii="Times New Roman" w:hAnsi="Times New Roman"/>
                <w:b/>
                <w:bCs/>
                <w:color w:val="000000"/>
                <w:kern w:val="0"/>
                <w:sz w:val="21"/>
                <w:szCs w:val="21"/>
              </w:rPr>
            </w:pPr>
            <w:r>
              <w:rPr>
                <w:rFonts w:hint="eastAsia" w:ascii="Times New Roman" w:hAnsi="Times New Roman" w:cs="Times New Roman"/>
                <w:b/>
                <w:bCs/>
                <w:color w:val="000000"/>
                <w:kern w:val="0"/>
                <w:sz w:val="21"/>
                <w:szCs w:val="21"/>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846"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1</w:t>
            </w:r>
          </w:p>
        </w:tc>
        <w:tc>
          <w:tcPr>
            <w:tcW w:w="226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乌苏镇灌区近期田间配套工程</w:t>
            </w:r>
          </w:p>
        </w:tc>
        <w:tc>
          <w:tcPr>
            <w:tcW w:w="1984"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乌苏镇</w:t>
            </w:r>
          </w:p>
        </w:tc>
        <w:tc>
          <w:tcPr>
            <w:tcW w:w="467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田间配套工程控制灌溉面积30.9万亩</w:t>
            </w:r>
          </w:p>
        </w:tc>
        <w:tc>
          <w:tcPr>
            <w:tcW w:w="1559"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2019-2020</w:t>
            </w:r>
          </w:p>
        </w:tc>
        <w:tc>
          <w:tcPr>
            <w:tcW w:w="1276"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51200</w:t>
            </w:r>
          </w:p>
        </w:tc>
        <w:tc>
          <w:tcPr>
            <w:tcW w:w="1337"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846"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w:t>
            </w:r>
          </w:p>
        </w:tc>
        <w:tc>
          <w:tcPr>
            <w:tcW w:w="226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抚远金良跨境农业港</w:t>
            </w:r>
          </w:p>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项目</w:t>
            </w:r>
          </w:p>
        </w:tc>
        <w:tc>
          <w:tcPr>
            <w:tcW w:w="1984"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抚远经济开发区内，莽吉塔港东侧</w:t>
            </w:r>
          </w:p>
        </w:tc>
        <w:tc>
          <w:tcPr>
            <w:tcW w:w="467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建设规模为2个3000吨级泊位，码头长度223米，跨境农业产业仓储加工园区，6个10000吨钢板仓及辅助建筑物等</w:t>
            </w:r>
          </w:p>
        </w:tc>
        <w:tc>
          <w:tcPr>
            <w:tcW w:w="1559"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2019-2021</w:t>
            </w:r>
          </w:p>
        </w:tc>
        <w:tc>
          <w:tcPr>
            <w:tcW w:w="1276"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9900</w:t>
            </w:r>
          </w:p>
        </w:tc>
        <w:tc>
          <w:tcPr>
            <w:tcW w:w="1337"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商务口岸局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846"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3</w:t>
            </w:r>
          </w:p>
        </w:tc>
        <w:tc>
          <w:tcPr>
            <w:tcW w:w="226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抚远市2019年高标准农田建设项目</w:t>
            </w:r>
          </w:p>
        </w:tc>
        <w:tc>
          <w:tcPr>
            <w:tcW w:w="1984"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w:t>
            </w:r>
          </w:p>
        </w:tc>
        <w:tc>
          <w:tcPr>
            <w:tcW w:w="467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建设规模1.0万亩</w:t>
            </w:r>
          </w:p>
        </w:tc>
        <w:tc>
          <w:tcPr>
            <w:tcW w:w="1559"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2020-2021</w:t>
            </w:r>
          </w:p>
        </w:tc>
        <w:tc>
          <w:tcPr>
            <w:tcW w:w="1276"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700</w:t>
            </w:r>
          </w:p>
        </w:tc>
        <w:tc>
          <w:tcPr>
            <w:tcW w:w="1337"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jc w:val="center"/>
        </w:trPr>
        <w:tc>
          <w:tcPr>
            <w:tcW w:w="846"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4</w:t>
            </w:r>
          </w:p>
        </w:tc>
        <w:tc>
          <w:tcPr>
            <w:tcW w:w="226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抚远市高效农业合作社联社仓储及配套设施项目</w:t>
            </w:r>
          </w:p>
        </w:tc>
        <w:tc>
          <w:tcPr>
            <w:tcW w:w="1984"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w:t>
            </w:r>
          </w:p>
        </w:tc>
        <w:tc>
          <w:tcPr>
            <w:tcW w:w="467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项目新建仓储设施、实验基地、综合服务区及配套设施，建设面积约6000平方米</w:t>
            </w:r>
          </w:p>
        </w:tc>
        <w:tc>
          <w:tcPr>
            <w:tcW w:w="1559"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2019</w:t>
            </w:r>
          </w:p>
        </w:tc>
        <w:tc>
          <w:tcPr>
            <w:tcW w:w="1276"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3000</w:t>
            </w:r>
          </w:p>
        </w:tc>
        <w:tc>
          <w:tcPr>
            <w:tcW w:w="1337"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w:t>
            </w:r>
          </w:p>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粮食局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846"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5</w:t>
            </w:r>
          </w:p>
        </w:tc>
        <w:tc>
          <w:tcPr>
            <w:tcW w:w="226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抚远市跨境农业仓储加工物流园区项目</w:t>
            </w:r>
          </w:p>
        </w:tc>
        <w:tc>
          <w:tcPr>
            <w:tcW w:w="1984"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抚远经济开发区内</w:t>
            </w:r>
          </w:p>
        </w:tc>
        <w:tc>
          <w:tcPr>
            <w:tcW w:w="467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2020年规划建设仓房22栋，大米加工厂厂房、成品库、办公楼、综合楼等，烘干塔4座，日处理能力8000吨</w:t>
            </w:r>
          </w:p>
        </w:tc>
        <w:tc>
          <w:tcPr>
            <w:tcW w:w="1559"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2020-2022</w:t>
            </w:r>
          </w:p>
        </w:tc>
        <w:tc>
          <w:tcPr>
            <w:tcW w:w="1276"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52000</w:t>
            </w:r>
          </w:p>
        </w:tc>
        <w:tc>
          <w:tcPr>
            <w:tcW w:w="1337"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商务口岸局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846"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6</w:t>
            </w:r>
          </w:p>
        </w:tc>
        <w:tc>
          <w:tcPr>
            <w:tcW w:w="226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抚远市2020年中央预算内高标准农田建设项目</w:t>
            </w:r>
          </w:p>
        </w:tc>
        <w:tc>
          <w:tcPr>
            <w:tcW w:w="1984"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w:t>
            </w:r>
          </w:p>
        </w:tc>
        <w:tc>
          <w:tcPr>
            <w:tcW w:w="467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改造高标准农田1.17万亩</w:t>
            </w:r>
          </w:p>
        </w:tc>
        <w:tc>
          <w:tcPr>
            <w:tcW w:w="1559"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2021</w:t>
            </w:r>
          </w:p>
        </w:tc>
        <w:tc>
          <w:tcPr>
            <w:tcW w:w="1276"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1200</w:t>
            </w:r>
          </w:p>
        </w:tc>
        <w:tc>
          <w:tcPr>
            <w:tcW w:w="1337"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846"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7</w:t>
            </w:r>
          </w:p>
        </w:tc>
        <w:tc>
          <w:tcPr>
            <w:tcW w:w="226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抚远市2020年高标准农田建设项目</w:t>
            </w:r>
          </w:p>
        </w:tc>
        <w:tc>
          <w:tcPr>
            <w:tcW w:w="1984"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w:t>
            </w:r>
          </w:p>
        </w:tc>
        <w:tc>
          <w:tcPr>
            <w:tcW w:w="467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改造高标准农田6.36万亩</w:t>
            </w:r>
          </w:p>
        </w:tc>
        <w:tc>
          <w:tcPr>
            <w:tcW w:w="1559"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2021</w:t>
            </w:r>
          </w:p>
        </w:tc>
        <w:tc>
          <w:tcPr>
            <w:tcW w:w="1276"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6400</w:t>
            </w:r>
          </w:p>
        </w:tc>
        <w:tc>
          <w:tcPr>
            <w:tcW w:w="1337"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846"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8</w:t>
            </w:r>
          </w:p>
        </w:tc>
        <w:tc>
          <w:tcPr>
            <w:tcW w:w="226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抚远市2021年高标准农田建设项目</w:t>
            </w:r>
          </w:p>
        </w:tc>
        <w:tc>
          <w:tcPr>
            <w:tcW w:w="1984"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w:t>
            </w:r>
          </w:p>
        </w:tc>
        <w:tc>
          <w:tcPr>
            <w:tcW w:w="467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改造高标准农田6.6万亩</w:t>
            </w:r>
          </w:p>
        </w:tc>
        <w:tc>
          <w:tcPr>
            <w:tcW w:w="1559"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2021-2024</w:t>
            </w:r>
          </w:p>
        </w:tc>
        <w:tc>
          <w:tcPr>
            <w:tcW w:w="1276"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26000</w:t>
            </w:r>
          </w:p>
        </w:tc>
        <w:tc>
          <w:tcPr>
            <w:tcW w:w="1337"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3948" w:type="dxa"/>
            <w:gridSpan w:val="7"/>
            <w:noWrap/>
            <w:vAlign w:val="center"/>
          </w:tcPr>
          <w:p>
            <w:pPr>
              <w:spacing w:line="240" w:lineRule="auto"/>
              <w:ind w:firstLine="0" w:firstLineChars="0"/>
              <w:jc w:val="center"/>
              <w:rPr>
                <w:rFonts w:ascii="Times New Roman" w:hAnsi="Times New Roman" w:cs="Times New Roman"/>
                <w:b/>
                <w:bCs/>
                <w:kern w:val="0"/>
                <w:sz w:val="21"/>
                <w:szCs w:val="20"/>
              </w:rPr>
            </w:pPr>
            <w:r>
              <w:rPr>
                <w:rFonts w:ascii="Times New Roman" w:hAnsi="Times New Roman" w:cs="Times New Roman"/>
                <w:b/>
                <w:bCs/>
                <w:kern w:val="0"/>
                <w:szCs w:val="24"/>
              </w:rPr>
              <w:t>养殖业改造项目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846"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9</w:t>
            </w:r>
          </w:p>
        </w:tc>
        <w:tc>
          <w:tcPr>
            <w:tcW w:w="226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黑龙江省抚远市胜利屯标准化养殖小区粪污处理项目</w:t>
            </w:r>
          </w:p>
        </w:tc>
        <w:tc>
          <w:tcPr>
            <w:tcW w:w="1984"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胜利屯</w:t>
            </w:r>
          </w:p>
        </w:tc>
        <w:tc>
          <w:tcPr>
            <w:tcW w:w="467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项目规划占地面积13133.70平方米。新建阳光棚1个，建筑面积1400平方米。新建干湿分离间1个，建筑面积20平方米。新建氧化塘2处，占地面积为 7550平方米。新建暂存池1处，占地面积900平方米。新建砂石路1条，宽4米，长140米</w:t>
            </w:r>
          </w:p>
        </w:tc>
        <w:tc>
          <w:tcPr>
            <w:tcW w:w="1559"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2020-2021</w:t>
            </w:r>
          </w:p>
        </w:tc>
        <w:tc>
          <w:tcPr>
            <w:tcW w:w="1276"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817.76</w:t>
            </w:r>
          </w:p>
        </w:tc>
        <w:tc>
          <w:tcPr>
            <w:tcW w:w="1337"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846"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10</w:t>
            </w:r>
          </w:p>
        </w:tc>
        <w:tc>
          <w:tcPr>
            <w:tcW w:w="226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黑龙江省抚远市胜利屯标准化养殖小区二期建设项目</w:t>
            </w:r>
          </w:p>
        </w:tc>
        <w:tc>
          <w:tcPr>
            <w:tcW w:w="1984"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胜利屯</w:t>
            </w:r>
          </w:p>
        </w:tc>
        <w:tc>
          <w:tcPr>
            <w:tcW w:w="467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项目规划占地面积6196.58平方米。建新种猪舍建筑面积2861.60平方米（1间），保育舍建筑面积3334.98平方米（2间）为土建工程；2间种猪舍，4间保育舍设备采购及安装（其中1间种猪舍、2间保育舍为一期配套）及附属设施</w:t>
            </w:r>
          </w:p>
        </w:tc>
        <w:tc>
          <w:tcPr>
            <w:tcW w:w="1559"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2020-2021</w:t>
            </w:r>
          </w:p>
        </w:tc>
        <w:tc>
          <w:tcPr>
            <w:tcW w:w="1276"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1661.24</w:t>
            </w:r>
          </w:p>
        </w:tc>
        <w:tc>
          <w:tcPr>
            <w:tcW w:w="1337"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846"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11</w:t>
            </w:r>
          </w:p>
        </w:tc>
        <w:tc>
          <w:tcPr>
            <w:tcW w:w="226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抚远市胜利屯标准化养殖小区建设项目</w:t>
            </w:r>
          </w:p>
        </w:tc>
        <w:tc>
          <w:tcPr>
            <w:tcW w:w="1984"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胜利屯</w:t>
            </w:r>
          </w:p>
        </w:tc>
        <w:tc>
          <w:tcPr>
            <w:tcW w:w="467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建设种猪舍、保育会舍、综合用房、粪污处理设施等</w:t>
            </w:r>
          </w:p>
        </w:tc>
        <w:tc>
          <w:tcPr>
            <w:tcW w:w="1559"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2019-2021</w:t>
            </w:r>
          </w:p>
        </w:tc>
        <w:tc>
          <w:tcPr>
            <w:tcW w:w="1276"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6900</w:t>
            </w:r>
          </w:p>
        </w:tc>
        <w:tc>
          <w:tcPr>
            <w:tcW w:w="1337"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jc w:val="center"/>
        </w:trPr>
        <w:tc>
          <w:tcPr>
            <w:tcW w:w="846"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12</w:t>
            </w:r>
          </w:p>
        </w:tc>
        <w:tc>
          <w:tcPr>
            <w:tcW w:w="226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黑龙江省抚远市黑瞎子岛镇南岗村生态养殖基地建设项目</w:t>
            </w:r>
          </w:p>
        </w:tc>
        <w:tc>
          <w:tcPr>
            <w:tcW w:w="1984"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黑瞎子岛镇</w:t>
            </w:r>
          </w:p>
        </w:tc>
        <w:tc>
          <w:tcPr>
            <w:tcW w:w="467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项目占地23.84公顷，清理鱼塘20000平方米，场地回填平整5000平方米。新建房屋540平方米（含看护房、鸭舍、饲料棚）。新建无害化粪污处理池，购置饲养设备。建设内部道路，给水，供电、安防监控等附属设施。项目建成后可饲养约10万尾鱼，饲养蛋鸭约1000只</w:t>
            </w:r>
          </w:p>
        </w:tc>
        <w:tc>
          <w:tcPr>
            <w:tcW w:w="1559"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2020-2021</w:t>
            </w:r>
          </w:p>
        </w:tc>
        <w:tc>
          <w:tcPr>
            <w:tcW w:w="1276"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150</w:t>
            </w:r>
          </w:p>
        </w:tc>
        <w:tc>
          <w:tcPr>
            <w:tcW w:w="1337"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抚远市黑瞎子岛镇人民政府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3948" w:type="dxa"/>
            <w:gridSpan w:val="7"/>
            <w:noWrap/>
            <w:vAlign w:val="center"/>
          </w:tcPr>
          <w:p>
            <w:pPr>
              <w:spacing w:line="240" w:lineRule="auto"/>
              <w:ind w:firstLine="0" w:firstLineChars="0"/>
              <w:jc w:val="center"/>
              <w:rPr>
                <w:rFonts w:ascii="Times New Roman" w:hAnsi="Times New Roman" w:cs="Times New Roman"/>
                <w:b/>
                <w:bCs/>
                <w:kern w:val="0"/>
                <w:sz w:val="21"/>
                <w:szCs w:val="20"/>
              </w:rPr>
            </w:pPr>
            <w:r>
              <w:rPr>
                <w:rFonts w:ascii="Times New Roman" w:hAnsi="Times New Roman" w:cs="Times New Roman"/>
                <w:b/>
                <w:bCs/>
                <w:kern w:val="0"/>
                <w:szCs w:val="24"/>
              </w:rPr>
              <w:t>旅游业改造项目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846"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13</w:t>
            </w:r>
          </w:p>
        </w:tc>
        <w:tc>
          <w:tcPr>
            <w:tcW w:w="226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黑瞎子岛游客服务中心项目</w:t>
            </w:r>
          </w:p>
        </w:tc>
        <w:tc>
          <w:tcPr>
            <w:tcW w:w="1984"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w:t>
            </w:r>
          </w:p>
        </w:tc>
        <w:tc>
          <w:tcPr>
            <w:tcW w:w="467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总用地面积64382.37平方米，总建筑面积60152.38平方米，配套完善绿化、道路、停车场等内容</w:t>
            </w:r>
          </w:p>
        </w:tc>
        <w:tc>
          <w:tcPr>
            <w:tcW w:w="1559"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2017-2021</w:t>
            </w:r>
          </w:p>
        </w:tc>
        <w:tc>
          <w:tcPr>
            <w:tcW w:w="1276"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27000</w:t>
            </w:r>
          </w:p>
        </w:tc>
        <w:tc>
          <w:tcPr>
            <w:tcW w:w="1337"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东极小镇管委会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846"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14</w:t>
            </w:r>
          </w:p>
        </w:tc>
        <w:tc>
          <w:tcPr>
            <w:tcW w:w="226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抚远市黑瞎子岛镇南岗村赫哲民居</w:t>
            </w:r>
          </w:p>
        </w:tc>
        <w:tc>
          <w:tcPr>
            <w:tcW w:w="1984"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抚远市黑瞎子岛镇</w:t>
            </w:r>
          </w:p>
        </w:tc>
        <w:tc>
          <w:tcPr>
            <w:tcW w:w="467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场地平整14000平方米，民宿附属用房及相关基础设施，完善旅游景观</w:t>
            </w:r>
          </w:p>
        </w:tc>
        <w:tc>
          <w:tcPr>
            <w:tcW w:w="1559"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2020-2021</w:t>
            </w:r>
          </w:p>
        </w:tc>
        <w:tc>
          <w:tcPr>
            <w:tcW w:w="1276"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1983</w:t>
            </w:r>
          </w:p>
        </w:tc>
        <w:tc>
          <w:tcPr>
            <w:tcW w:w="1337"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黑瞎子岛镇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846"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15</w:t>
            </w:r>
          </w:p>
        </w:tc>
        <w:tc>
          <w:tcPr>
            <w:tcW w:w="226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抚远市智慧产业园区基础设施项目</w:t>
            </w:r>
          </w:p>
        </w:tc>
        <w:tc>
          <w:tcPr>
            <w:tcW w:w="1984"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抚远市黑瞎子岛镇</w:t>
            </w:r>
          </w:p>
        </w:tc>
        <w:tc>
          <w:tcPr>
            <w:tcW w:w="467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项目总占地面积20837平方米，总建筑面积18145.97平方米可布置600个标准服务器机柜，600台设备机柜及配套附属设施</w:t>
            </w:r>
          </w:p>
        </w:tc>
        <w:tc>
          <w:tcPr>
            <w:tcW w:w="1559"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2020-2021</w:t>
            </w:r>
          </w:p>
        </w:tc>
        <w:tc>
          <w:tcPr>
            <w:tcW w:w="1276"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59900</w:t>
            </w:r>
          </w:p>
        </w:tc>
        <w:tc>
          <w:tcPr>
            <w:tcW w:w="1337"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黑瞎子岛镇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846"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16</w:t>
            </w:r>
          </w:p>
        </w:tc>
        <w:tc>
          <w:tcPr>
            <w:tcW w:w="226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黑龙江省抚远市黑瞎子岛镇南岗村赫哲人渔猎文化体验区项目</w:t>
            </w:r>
          </w:p>
        </w:tc>
        <w:tc>
          <w:tcPr>
            <w:tcW w:w="1984"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w:t>
            </w:r>
          </w:p>
        </w:tc>
        <w:tc>
          <w:tcPr>
            <w:tcW w:w="467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徒手捕鱼区1处，面积10000平方米，旋网区1处，面积10000平方米。食鱼文化体现区服务建筑包括两类服务建筑，即餐厅及接待服务建筑、民宿建筑。共计6栋建筑，总建筑面积约1151平方米，食鱼文化体验区地下室建筑面积459平方米。河道清淤3处、游船码头水系连通开水道300米。配套基础设施主要包括电子监控系统。电力电缆、电信管线、给水系统供热系统、南岗村污水系统等设施</w:t>
            </w:r>
          </w:p>
        </w:tc>
        <w:tc>
          <w:tcPr>
            <w:tcW w:w="1559"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2019-2020</w:t>
            </w:r>
          </w:p>
        </w:tc>
        <w:tc>
          <w:tcPr>
            <w:tcW w:w="1276"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1973</w:t>
            </w:r>
          </w:p>
        </w:tc>
        <w:tc>
          <w:tcPr>
            <w:tcW w:w="1337"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抚远市黑瞎子岛镇人民政府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1" w:hRule="atLeast"/>
          <w:jc w:val="center"/>
        </w:trPr>
        <w:tc>
          <w:tcPr>
            <w:tcW w:w="846"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17</w:t>
            </w:r>
          </w:p>
        </w:tc>
        <w:tc>
          <w:tcPr>
            <w:tcW w:w="226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黑龙江省抚远市黑瞎子岛镇东极广场维修项目</w:t>
            </w:r>
          </w:p>
        </w:tc>
        <w:tc>
          <w:tcPr>
            <w:tcW w:w="1984"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w:t>
            </w:r>
          </w:p>
        </w:tc>
        <w:tc>
          <w:tcPr>
            <w:tcW w:w="467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汉白玉围栏拆除400米、新建石材围栏（锈石）810.75米、新建护栏条形基础810.75长米、清除草丛及灌木丛4458平方米、种植草皮4458平方米、花坛边石拆除496米、新建花岗岩地面570平方米、拆地图小品1座、新建镶嵌式锻铜地图180平方米、新建地图混凝土基础54平方米、古建刷油漆清理及重新刷漆1186平方米、东极广场置石刻字、拆除距离标志1个、绿化围栏876米、新建汉白玉栏杆48米、建筑外墙瓷砖拆除及外墙干挂大理石350平方米、新建停车场植草砖1500平方米、建筑新建铜制保温门20平方米、监控摄像头10个及监控系统、亮化改造增加射灯</w:t>
            </w:r>
          </w:p>
        </w:tc>
        <w:tc>
          <w:tcPr>
            <w:tcW w:w="1559"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2020-2021</w:t>
            </w:r>
          </w:p>
        </w:tc>
        <w:tc>
          <w:tcPr>
            <w:tcW w:w="1276"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460</w:t>
            </w:r>
          </w:p>
        </w:tc>
        <w:tc>
          <w:tcPr>
            <w:tcW w:w="1337"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抚远市黑瞎子岛镇人民政府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6" w:hRule="atLeast"/>
          <w:jc w:val="center"/>
        </w:trPr>
        <w:tc>
          <w:tcPr>
            <w:tcW w:w="846"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18</w:t>
            </w:r>
          </w:p>
        </w:tc>
        <w:tc>
          <w:tcPr>
            <w:tcW w:w="226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抚远市渔人码头项目</w:t>
            </w:r>
          </w:p>
        </w:tc>
        <w:tc>
          <w:tcPr>
            <w:tcW w:w="1984"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抚远市石头卧子村东</w:t>
            </w:r>
          </w:p>
        </w:tc>
        <w:tc>
          <w:tcPr>
            <w:tcW w:w="467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渔人码头项目一期（渔人码头商务功能区），项目占地总面积25603平方米，总建筑面积4689.31平方米，其中宾馆地上两层建筑面积1013.47平方米；餐厅建筑面积2113.08平方米；（地上两层建筑面积：1408.31平方米，地下一层建筑面积：704.77平方米）；超市建筑面积785.88平方米；鱼超市建筑面积776.88平方米</w:t>
            </w:r>
          </w:p>
        </w:tc>
        <w:tc>
          <w:tcPr>
            <w:tcW w:w="1559"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2017-2021</w:t>
            </w:r>
          </w:p>
        </w:tc>
        <w:tc>
          <w:tcPr>
            <w:tcW w:w="1276"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7000</w:t>
            </w:r>
          </w:p>
        </w:tc>
        <w:tc>
          <w:tcPr>
            <w:tcW w:w="1337"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商务口岸局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3948" w:type="dxa"/>
            <w:gridSpan w:val="7"/>
            <w:noWrap/>
            <w:vAlign w:val="center"/>
          </w:tcPr>
          <w:p>
            <w:pPr>
              <w:spacing w:line="240" w:lineRule="auto"/>
              <w:ind w:firstLine="0" w:firstLineChars="0"/>
              <w:jc w:val="center"/>
              <w:rPr>
                <w:rFonts w:ascii="Times New Roman" w:hAnsi="Times New Roman" w:cs="Times New Roman"/>
                <w:b/>
                <w:bCs/>
                <w:kern w:val="0"/>
                <w:sz w:val="21"/>
                <w:szCs w:val="20"/>
              </w:rPr>
            </w:pPr>
            <w:r>
              <w:rPr>
                <w:rFonts w:ascii="Times New Roman" w:hAnsi="Times New Roman" w:cs="Times New Roman"/>
                <w:b/>
                <w:bCs/>
                <w:kern w:val="0"/>
                <w:szCs w:val="24"/>
              </w:rPr>
              <w:t>能源改造项目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846"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19</w:t>
            </w:r>
          </w:p>
        </w:tc>
        <w:tc>
          <w:tcPr>
            <w:tcW w:w="226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中国能建黑龙江抚远分散式风电项目（一）</w:t>
            </w:r>
          </w:p>
        </w:tc>
        <w:tc>
          <w:tcPr>
            <w:tcW w:w="1984"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抚远市东约11公里处，东红村东北方向约1.5公里处</w:t>
            </w:r>
          </w:p>
        </w:tc>
        <w:tc>
          <w:tcPr>
            <w:tcW w:w="467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新建风机4台，每台装机容量为2兆瓦，共计8兆瓦。两组风机均接入抚远正阳变，接入系统电压等级为10千伏</w:t>
            </w:r>
          </w:p>
        </w:tc>
        <w:tc>
          <w:tcPr>
            <w:tcW w:w="1559"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2021</w:t>
            </w:r>
          </w:p>
        </w:tc>
        <w:tc>
          <w:tcPr>
            <w:tcW w:w="1276"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7100</w:t>
            </w:r>
          </w:p>
        </w:tc>
        <w:tc>
          <w:tcPr>
            <w:tcW w:w="1337"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工信局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846"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20</w:t>
            </w:r>
          </w:p>
        </w:tc>
        <w:tc>
          <w:tcPr>
            <w:tcW w:w="226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抚远市天然气利用工程项目</w:t>
            </w:r>
          </w:p>
        </w:tc>
        <w:tc>
          <w:tcPr>
            <w:tcW w:w="1984"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w:t>
            </w:r>
          </w:p>
        </w:tc>
        <w:tc>
          <w:tcPr>
            <w:tcW w:w="467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建设LNG气化和L-CNG加气合建站以及附属设施，总占地面积11183平方米；铺设中压燃气管网19.5公里及附属设施</w:t>
            </w:r>
          </w:p>
        </w:tc>
        <w:tc>
          <w:tcPr>
            <w:tcW w:w="1559"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2018-2020</w:t>
            </w:r>
          </w:p>
        </w:tc>
        <w:tc>
          <w:tcPr>
            <w:tcW w:w="1276"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8300</w:t>
            </w:r>
          </w:p>
        </w:tc>
        <w:tc>
          <w:tcPr>
            <w:tcW w:w="1337"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846"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21</w:t>
            </w:r>
          </w:p>
        </w:tc>
        <w:tc>
          <w:tcPr>
            <w:tcW w:w="226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中国能建黑龙江抚远分散式风电项目（二）</w:t>
            </w:r>
          </w:p>
        </w:tc>
        <w:tc>
          <w:tcPr>
            <w:tcW w:w="1984"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抚远市通江乡小河子村北侧</w:t>
            </w:r>
          </w:p>
        </w:tc>
        <w:tc>
          <w:tcPr>
            <w:tcW w:w="467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总装机容量8兆瓦，新建4台单机容量为2兆瓦的风力发电机组，接入抚远正阳变，接入系统电压等级为10千伏</w:t>
            </w:r>
          </w:p>
        </w:tc>
        <w:tc>
          <w:tcPr>
            <w:tcW w:w="1559"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2020-2021</w:t>
            </w:r>
          </w:p>
        </w:tc>
        <w:tc>
          <w:tcPr>
            <w:tcW w:w="1276"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6200</w:t>
            </w:r>
          </w:p>
        </w:tc>
        <w:tc>
          <w:tcPr>
            <w:tcW w:w="1337"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发改局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846" w:type="dxa"/>
            <w:noWrap/>
            <w:vAlign w:val="center"/>
          </w:tcPr>
          <w:p>
            <w:pPr>
              <w:widowControl/>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22</w:t>
            </w:r>
          </w:p>
        </w:tc>
        <w:tc>
          <w:tcPr>
            <w:tcW w:w="226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抚远市哈电集团生物质热电联产项目</w:t>
            </w:r>
          </w:p>
        </w:tc>
        <w:tc>
          <w:tcPr>
            <w:tcW w:w="1984"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w:t>
            </w:r>
          </w:p>
        </w:tc>
        <w:tc>
          <w:tcPr>
            <w:tcW w:w="467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建设1×130吨高温高压循环流化床生物质锅炉及配套1×30MW汽轮发电机组</w:t>
            </w:r>
          </w:p>
        </w:tc>
        <w:tc>
          <w:tcPr>
            <w:tcW w:w="1559"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2019-2020</w:t>
            </w:r>
          </w:p>
        </w:tc>
        <w:tc>
          <w:tcPr>
            <w:tcW w:w="1276"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39500</w:t>
            </w:r>
          </w:p>
        </w:tc>
        <w:tc>
          <w:tcPr>
            <w:tcW w:w="1337"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846"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23</w:t>
            </w:r>
          </w:p>
        </w:tc>
        <w:tc>
          <w:tcPr>
            <w:tcW w:w="226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抚远市寒葱沟镇红卫村秸秆压块站项目</w:t>
            </w:r>
          </w:p>
        </w:tc>
        <w:tc>
          <w:tcPr>
            <w:tcW w:w="1984"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寒葱沟镇</w:t>
            </w:r>
          </w:p>
        </w:tc>
        <w:tc>
          <w:tcPr>
            <w:tcW w:w="4678"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建设生产车间3000平方米。秸秆压块机，秸秆粉碎机、除尘设备、变压器，地秤、抓草机等设备购置</w:t>
            </w:r>
          </w:p>
        </w:tc>
        <w:tc>
          <w:tcPr>
            <w:tcW w:w="1559"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2020-2020</w:t>
            </w:r>
          </w:p>
        </w:tc>
        <w:tc>
          <w:tcPr>
            <w:tcW w:w="1276" w:type="dxa"/>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1100</w:t>
            </w:r>
          </w:p>
        </w:tc>
        <w:tc>
          <w:tcPr>
            <w:tcW w:w="1337" w:type="dxa"/>
            <w:noWrap/>
            <w:vAlign w:val="center"/>
          </w:tcPr>
          <w:p>
            <w:pPr>
              <w:spacing w:line="240" w:lineRule="auto"/>
              <w:ind w:firstLine="0" w:firstLineChars="0"/>
              <w:jc w:val="center"/>
              <w:rPr>
                <w:rFonts w:ascii="Times New Roman" w:hAnsi="Times New Roman" w:cs="Times New Roman"/>
                <w:kern w:val="0"/>
                <w:sz w:val="21"/>
                <w:szCs w:val="20"/>
              </w:rPr>
            </w:pPr>
            <w:r>
              <w:rPr>
                <w:rFonts w:ascii="Times New Roman" w:hAnsi="Times New Roman" w:cs="Times New Roman"/>
                <w:kern w:val="0"/>
                <w:sz w:val="21"/>
                <w:szCs w:val="20"/>
              </w:rPr>
              <w:t>农业农村局</w:t>
            </w:r>
          </w:p>
        </w:tc>
      </w:tr>
    </w:tbl>
    <w:p>
      <w:pPr>
        <w:pStyle w:val="4"/>
      </w:pPr>
      <w:bookmarkStart w:id="778" w:name="_Toc77601287"/>
      <w:bookmarkStart w:id="779" w:name="_Toc77601469"/>
      <w:bookmarkStart w:id="780" w:name="_Toc77600930"/>
      <w:r>
        <w:rPr>
          <w:rFonts w:hint="eastAsia"/>
        </w:rPr>
        <w:t>四、生态生活宜居工程</w:t>
      </w:r>
      <w:bookmarkEnd w:id="778"/>
      <w:bookmarkEnd w:id="779"/>
      <w:bookmarkEnd w:id="780"/>
    </w:p>
    <w:tbl>
      <w:tblPr>
        <w:tblStyle w:val="65"/>
        <w:tblW w:w="14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523"/>
        <w:gridCol w:w="1588"/>
        <w:gridCol w:w="4536"/>
        <w:gridCol w:w="1559"/>
        <w:gridCol w:w="1673"/>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312" w:type="dxa"/>
            <w:gridSpan w:val="7"/>
            <w:noWrap/>
            <w:vAlign w:val="center"/>
          </w:tcPr>
          <w:p>
            <w:pPr>
              <w:spacing w:line="240" w:lineRule="auto"/>
              <w:ind w:firstLine="0" w:firstLineChars="0"/>
              <w:jc w:val="center"/>
              <w:rPr>
                <w:rFonts w:ascii="Times New Roman" w:hAnsi="Times New Roman" w:cs="Times New Roman"/>
                <w:b/>
                <w:bCs/>
                <w:color w:val="000000"/>
                <w:kern w:val="0"/>
                <w:sz w:val="21"/>
                <w:szCs w:val="21"/>
              </w:rPr>
            </w:pPr>
            <w:r>
              <w:rPr>
                <w:rFonts w:hint="eastAsia" w:ascii="Times New Roman" w:hAnsi="Times New Roman"/>
                <w:b/>
                <w:bCs/>
                <w:color w:val="000000"/>
                <w:szCs w:val="28"/>
              </w:rPr>
              <w:t>生态人居环境改造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29" w:type="dxa"/>
            <w:noWrap/>
            <w:vAlign w:val="center"/>
          </w:tcPr>
          <w:p>
            <w:pPr>
              <w:spacing w:line="240" w:lineRule="auto"/>
              <w:ind w:firstLine="0" w:firstLineChars="0"/>
              <w:jc w:val="center"/>
              <w:rPr>
                <w:rFonts w:ascii="Times New Roman" w:hAnsi="Times New Roman"/>
                <w:b/>
                <w:bCs/>
                <w:color w:val="000000"/>
                <w:kern w:val="0"/>
                <w:sz w:val="21"/>
                <w:szCs w:val="21"/>
              </w:rPr>
            </w:pPr>
            <w:r>
              <w:rPr>
                <w:rFonts w:hint="eastAsia" w:ascii="Times New Roman" w:hAnsi="Times New Roman" w:cs="Times New Roman"/>
                <w:b/>
                <w:bCs/>
                <w:color w:val="000000"/>
                <w:kern w:val="0"/>
                <w:sz w:val="21"/>
                <w:szCs w:val="21"/>
              </w:rPr>
              <w:t>序号</w:t>
            </w:r>
          </w:p>
        </w:tc>
        <w:tc>
          <w:tcPr>
            <w:tcW w:w="2523" w:type="dxa"/>
            <w:vAlign w:val="center"/>
          </w:tcPr>
          <w:p>
            <w:pPr>
              <w:spacing w:line="240" w:lineRule="auto"/>
              <w:ind w:firstLine="0" w:firstLineChars="0"/>
              <w:jc w:val="center"/>
              <w:rPr>
                <w:rFonts w:ascii="Times New Roman" w:hAnsi="Times New Roman"/>
                <w:b/>
                <w:bCs/>
                <w:color w:val="000000"/>
                <w:kern w:val="0"/>
                <w:sz w:val="21"/>
                <w:szCs w:val="21"/>
              </w:rPr>
            </w:pPr>
            <w:r>
              <w:rPr>
                <w:rFonts w:hint="eastAsia" w:ascii="Times New Roman" w:hAnsi="Times New Roman" w:cs="Times New Roman"/>
                <w:b/>
                <w:bCs/>
                <w:color w:val="000000"/>
                <w:kern w:val="0"/>
                <w:sz w:val="21"/>
                <w:szCs w:val="21"/>
              </w:rPr>
              <w:t>项目名称</w:t>
            </w:r>
          </w:p>
        </w:tc>
        <w:tc>
          <w:tcPr>
            <w:tcW w:w="1588" w:type="dxa"/>
            <w:vAlign w:val="center"/>
          </w:tcPr>
          <w:p>
            <w:pPr>
              <w:spacing w:line="240" w:lineRule="auto"/>
              <w:ind w:firstLine="0" w:firstLineChars="0"/>
              <w:jc w:val="center"/>
              <w:rPr>
                <w:rFonts w:ascii="Times New Roman" w:hAnsi="Times New Roman"/>
                <w:b/>
                <w:bCs/>
                <w:color w:val="000000"/>
                <w:kern w:val="0"/>
                <w:sz w:val="21"/>
                <w:szCs w:val="21"/>
              </w:rPr>
            </w:pPr>
            <w:r>
              <w:rPr>
                <w:rFonts w:hint="eastAsia" w:ascii="Times New Roman" w:hAnsi="Times New Roman" w:cs="Times New Roman"/>
                <w:b/>
                <w:bCs/>
                <w:color w:val="000000"/>
                <w:kern w:val="0"/>
                <w:sz w:val="21"/>
                <w:szCs w:val="21"/>
              </w:rPr>
              <w:t>建设地点</w:t>
            </w:r>
          </w:p>
        </w:tc>
        <w:tc>
          <w:tcPr>
            <w:tcW w:w="4536" w:type="dxa"/>
            <w:vAlign w:val="center"/>
          </w:tcPr>
          <w:p>
            <w:pPr>
              <w:spacing w:line="240" w:lineRule="auto"/>
              <w:ind w:firstLine="0" w:firstLineChars="0"/>
              <w:jc w:val="center"/>
              <w:rPr>
                <w:rFonts w:ascii="Times New Roman" w:hAnsi="Times New Roman"/>
                <w:b/>
                <w:bCs/>
                <w:color w:val="000000"/>
                <w:kern w:val="0"/>
                <w:sz w:val="21"/>
                <w:szCs w:val="21"/>
              </w:rPr>
            </w:pPr>
            <w:r>
              <w:rPr>
                <w:rFonts w:hint="eastAsia" w:ascii="Times New Roman" w:hAnsi="Times New Roman" w:cs="Times New Roman"/>
                <w:b/>
                <w:bCs/>
                <w:color w:val="000000"/>
                <w:kern w:val="0"/>
                <w:sz w:val="21"/>
                <w:szCs w:val="21"/>
              </w:rPr>
              <w:t>建设内容</w:t>
            </w:r>
          </w:p>
        </w:tc>
        <w:tc>
          <w:tcPr>
            <w:tcW w:w="1559" w:type="dxa"/>
            <w:noWrap/>
            <w:vAlign w:val="center"/>
          </w:tcPr>
          <w:p>
            <w:pPr>
              <w:spacing w:line="240" w:lineRule="auto"/>
              <w:ind w:firstLine="0" w:firstLineChars="0"/>
              <w:jc w:val="center"/>
              <w:rPr>
                <w:rFonts w:ascii="Times New Roman" w:hAnsi="Times New Roman"/>
                <w:b/>
                <w:bCs/>
                <w:color w:val="000000"/>
                <w:kern w:val="0"/>
                <w:sz w:val="21"/>
                <w:szCs w:val="21"/>
              </w:rPr>
            </w:pPr>
            <w:r>
              <w:rPr>
                <w:rFonts w:hint="eastAsia" w:ascii="Times New Roman" w:hAnsi="Times New Roman" w:cs="Times New Roman"/>
                <w:b/>
                <w:bCs/>
                <w:color w:val="000000"/>
                <w:kern w:val="0"/>
                <w:sz w:val="21"/>
                <w:szCs w:val="21"/>
              </w:rPr>
              <w:t>建设起止年限</w:t>
            </w:r>
          </w:p>
        </w:tc>
        <w:tc>
          <w:tcPr>
            <w:tcW w:w="1673" w:type="dxa"/>
            <w:vAlign w:val="center"/>
          </w:tcPr>
          <w:p>
            <w:pPr>
              <w:spacing w:line="240" w:lineRule="auto"/>
              <w:ind w:firstLine="0" w:firstLineChars="0"/>
              <w:jc w:val="center"/>
              <w:rPr>
                <w:rFonts w:ascii="Times New Roman" w:hAnsi="Times New Roman" w:cs="Times New Roman"/>
                <w:b/>
                <w:bCs/>
                <w:color w:val="000000"/>
                <w:kern w:val="0"/>
                <w:sz w:val="21"/>
                <w:szCs w:val="21"/>
              </w:rPr>
            </w:pPr>
            <w:r>
              <w:rPr>
                <w:rFonts w:hint="eastAsia" w:ascii="Times New Roman" w:hAnsi="Times New Roman" w:cs="Times New Roman"/>
                <w:b/>
                <w:bCs/>
                <w:color w:val="000000"/>
                <w:kern w:val="0"/>
                <w:sz w:val="21"/>
                <w:szCs w:val="21"/>
              </w:rPr>
              <w:t>投资金额</w:t>
            </w:r>
          </w:p>
          <w:p>
            <w:pPr>
              <w:spacing w:line="240" w:lineRule="auto"/>
              <w:ind w:firstLine="0" w:firstLineChars="0"/>
              <w:jc w:val="center"/>
              <w:rPr>
                <w:rFonts w:ascii="Times New Roman" w:hAnsi="Times New Roman"/>
                <w:b/>
                <w:bCs/>
                <w:color w:val="000000"/>
                <w:kern w:val="0"/>
                <w:sz w:val="21"/>
                <w:szCs w:val="21"/>
              </w:rPr>
            </w:pPr>
            <w:r>
              <w:rPr>
                <w:rFonts w:hint="eastAsia" w:ascii="Times New Roman" w:hAnsi="Times New Roman" w:cs="Times New Roman"/>
                <w:b/>
                <w:bCs/>
                <w:color w:val="000000"/>
                <w:kern w:val="0"/>
                <w:sz w:val="21"/>
                <w:szCs w:val="21"/>
              </w:rPr>
              <w:t>（万元）</w:t>
            </w:r>
          </w:p>
        </w:tc>
        <w:tc>
          <w:tcPr>
            <w:tcW w:w="1304" w:type="dxa"/>
            <w:noWrap/>
            <w:vAlign w:val="center"/>
          </w:tcPr>
          <w:p>
            <w:pPr>
              <w:spacing w:line="240" w:lineRule="auto"/>
              <w:ind w:firstLine="0" w:firstLineChars="0"/>
              <w:jc w:val="center"/>
              <w:rPr>
                <w:rFonts w:ascii="Times New Roman" w:hAnsi="Times New Roman"/>
                <w:b/>
                <w:bCs/>
                <w:color w:val="000000"/>
                <w:kern w:val="0"/>
                <w:sz w:val="21"/>
                <w:szCs w:val="21"/>
              </w:rPr>
            </w:pPr>
            <w:r>
              <w:rPr>
                <w:rFonts w:hint="eastAsia" w:ascii="Times New Roman" w:hAnsi="Times New Roman" w:cs="Times New Roman"/>
                <w:b/>
                <w:bCs/>
                <w:color w:val="000000"/>
                <w:kern w:val="0"/>
                <w:sz w:val="21"/>
                <w:szCs w:val="21"/>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2523" w:type="dxa"/>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抚远市黑瞎子岛镇东极村一期基础设施项目</w:t>
            </w:r>
          </w:p>
        </w:tc>
        <w:tc>
          <w:tcPr>
            <w:tcW w:w="1588" w:type="dxa"/>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抚远市黑瞎子岛镇</w:t>
            </w:r>
          </w:p>
        </w:tc>
        <w:tc>
          <w:tcPr>
            <w:tcW w:w="4536" w:type="dxa"/>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新建道路1.25千米，新建供热、给水、排水等</w:t>
            </w:r>
          </w:p>
        </w:tc>
        <w:tc>
          <w:tcPr>
            <w:tcW w:w="1559" w:type="dxa"/>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2021</w:t>
            </w:r>
          </w:p>
        </w:tc>
        <w:tc>
          <w:tcPr>
            <w:tcW w:w="1673" w:type="dxa"/>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1000</w:t>
            </w:r>
          </w:p>
        </w:tc>
        <w:tc>
          <w:tcPr>
            <w:tcW w:w="1304" w:type="dxa"/>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黑瞎子岛镇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2</w:t>
            </w:r>
          </w:p>
        </w:tc>
        <w:tc>
          <w:tcPr>
            <w:tcW w:w="2523" w:type="dxa"/>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抚远市农村公路建设项目300人及以上自然村通畅项目</w:t>
            </w:r>
          </w:p>
        </w:tc>
        <w:tc>
          <w:tcPr>
            <w:tcW w:w="1588" w:type="dxa"/>
            <w:noWrap/>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14.769千</w:t>
            </w:r>
            <w:r>
              <w:rPr>
                <w:rFonts w:ascii="Times New Roman" w:hAnsi="Times New Roman"/>
                <w:sz w:val="21"/>
                <w:szCs w:val="21"/>
              </w:rPr>
              <w:t>米</w:t>
            </w:r>
            <w:r>
              <w:rPr>
                <w:rFonts w:hint="eastAsia" w:ascii="Times New Roman" w:hAnsi="Times New Roman"/>
                <w:sz w:val="21"/>
                <w:szCs w:val="21"/>
              </w:rPr>
              <w:t>四级混凝土公路</w:t>
            </w:r>
          </w:p>
        </w:tc>
        <w:tc>
          <w:tcPr>
            <w:tcW w:w="1559" w:type="dxa"/>
            <w:noWrap/>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2019</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1500</w:t>
            </w:r>
          </w:p>
        </w:tc>
        <w:tc>
          <w:tcPr>
            <w:tcW w:w="1304" w:type="dxa"/>
            <w:noWrap/>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3</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黑龙江省抚远市砖厂住宅楼老旧小区改造配套项目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院内排水明沟120</w:t>
            </w:r>
            <w:r>
              <w:rPr>
                <w:rFonts w:ascii="Times New Roman" w:hAnsi="Times New Roman"/>
                <w:sz w:val="21"/>
                <w:szCs w:val="21"/>
              </w:rPr>
              <w:t>米</w:t>
            </w:r>
            <w:r>
              <w:rPr>
                <w:rFonts w:hint="eastAsia" w:ascii="Times New Roman" w:hAnsi="Times New Roman"/>
                <w:sz w:val="21"/>
                <w:szCs w:val="21"/>
              </w:rPr>
              <w:t>，小区路口沥青砼道路300</w:t>
            </w:r>
            <w:r>
              <w:rPr>
                <w:rFonts w:ascii="Times New Roman" w:hAnsi="Times New Roman"/>
                <w:sz w:val="21"/>
                <w:szCs w:val="21"/>
              </w:rPr>
              <w:t>平方米</w:t>
            </w:r>
            <w:r>
              <w:rPr>
                <w:rFonts w:hint="eastAsia" w:ascii="Times New Roman" w:hAnsi="Times New Roman"/>
                <w:sz w:val="21"/>
                <w:szCs w:val="21"/>
              </w:rPr>
              <w:t>，路口西侧围墙改造15</w:t>
            </w:r>
            <w:r>
              <w:rPr>
                <w:rFonts w:ascii="Times New Roman" w:hAnsi="Times New Roman"/>
                <w:sz w:val="21"/>
                <w:szCs w:val="21"/>
              </w:rPr>
              <w:t>米</w:t>
            </w:r>
            <w:r>
              <w:rPr>
                <w:rFonts w:hint="eastAsia" w:ascii="Times New Roman" w:hAnsi="Times New Roman"/>
                <w:sz w:val="21"/>
                <w:szCs w:val="21"/>
              </w:rPr>
              <w:t>。</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2020</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27.96</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4</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黑龙江省抚远市房产住宅楼老旧小区改造配套项目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改造沥青道路1290</w:t>
            </w:r>
            <w:r>
              <w:rPr>
                <w:rFonts w:ascii="Times New Roman" w:hAnsi="Times New Roman"/>
                <w:sz w:val="21"/>
                <w:szCs w:val="21"/>
              </w:rPr>
              <w:t>平方米</w:t>
            </w:r>
            <w:r>
              <w:rPr>
                <w:rFonts w:hint="eastAsia" w:ascii="Times New Roman" w:hAnsi="Times New Roman"/>
                <w:sz w:val="21"/>
                <w:szCs w:val="21"/>
              </w:rPr>
              <w:t>，改造石护坡410立方米，改造绿地500</w:t>
            </w:r>
            <w:r>
              <w:rPr>
                <w:rFonts w:ascii="Times New Roman" w:hAnsi="Times New Roman"/>
                <w:sz w:val="21"/>
                <w:szCs w:val="21"/>
              </w:rPr>
              <w:t>平方米</w:t>
            </w:r>
            <w:r>
              <w:rPr>
                <w:rFonts w:hint="eastAsia" w:ascii="Times New Roman" w:hAnsi="Times New Roman"/>
                <w:sz w:val="21"/>
                <w:szCs w:val="21"/>
              </w:rPr>
              <w:t>。</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2020</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94.81</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5</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节水型社会达标建设</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节水载体建设主要是新世纪热电有限公司水平衡测试和节水改造，供水管网改造1524米，医院、客运站、公共卫生间、社区活动中心进行生活节水期据推广，更换感应式水龙头387套，小便斗56套，节能蹲便181套，节能坐便35套</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2019</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224</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水利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6</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黑龙江省抚远市老国税住宅楼老旧小区改造配套项目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改建沥青砼道路850</w:t>
            </w:r>
            <w:r>
              <w:rPr>
                <w:rFonts w:ascii="Times New Roman" w:hAnsi="Times New Roman"/>
                <w:sz w:val="21"/>
                <w:szCs w:val="21"/>
              </w:rPr>
              <w:t>平方米</w:t>
            </w:r>
            <w:r>
              <w:rPr>
                <w:rFonts w:hint="eastAsia" w:ascii="Times New Roman" w:hAnsi="Times New Roman"/>
                <w:sz w:val="21"/>
                <w:szCs w:val="21"/>
              </w:rPr>
              <w:t>，改造排水管网80</w:t>
            </w:r>
            <w:r>
              <w:rPr>
                <w:rFonts w:ascii="Times New Roman" w:hAnsi="Times New Roman"/>
                <w:sz w:val="21"/>
                <w:szCs w:val="21"/>
              </w:rPr>
              <w:t>米</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2020</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52.33</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29" w:type="dxa"/>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sz w:val="21"/>
                <w:szCs w:val="21"/>
              </w:rPr>
              <w:t>7</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黑龙江省抚远市教育住宅楼老旧小区改造配套项目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改造沥青地面555</w:t>
            </w:r>
            <w:r>
              <w:rPr>
                <w:rFonts w:ascii="Times New Roman" w:hAnsi="Times New Roman"/>
                <w:sz w:val="21"/>
                <w:szCs w:val="21"/>
              </w:rPr>
              <w:t>平方米</w:t>
            </w:r>
            <w:r>
              <w:rPr>
                <w:rFonts w:hint="eastAsia" w:ascii="Times New Roman" w:hAnsi="Times New Roman"/>
                <w:sz w:val="21"/>
                <w:szCs w:val="21"/>
              </w:rPr>
              <w:t>，改造围墙49</w:t>
            </w:r>
            <w:r>
              <w:rPr>
                <w:rFonts w:ascii="Times New Roman" w:hAnsi="Times New Roman"/>
                <w:sz w:val="21"/>
                <w:szCs w:val="21"/>
              </w:rPr>
              <w:t>米</w:t>
            </w:r>
            <w:r>
              <w:rPr>
                <w:rFonts w:hint="eastAsia" w:ascii="Times New Roman" w:hAnsi="Times New Roman"/>
                <w:sz w:val="21"/>
                <w:szCs w:val="21"/>
              </w:rPr>
              <w:t>，改造护坡206立方米，改造台阶315立方米，改造院内围墙及护坡160</w:t>
            </w:r>
            <w:r>
              <w:rPr>
                <w:rFonts w:ascii="Times New Roman" w:hAnsi="Times New Roman"/>
                <w:sz w:val="21"/>
                <w:szCs w:val="21"/>
              </w:rPr>
              <w:t>平方米</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2020</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71.84</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8</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景观大道建设项目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包含沿江景观大道、沿江景观大道支线两条沥青混凝土道路，共计6093</w:t>
            </w:r>
            <w:r>
              <w:rPr>
                <w:rFonts w:ascii="Times New Roman" w:hAnsi="Times New Roman"/>
                <w:sz w:val="21"/>
                <w:szCs w:val="21"/>
              </w:rPr>
              <w:t>米</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2017-2019</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33.59</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抚远市惠民棚户区改造投资有限责任公司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9</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抚远市城区提档升级改造（一期）项目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改造小区52个（180栋），小区广场30个</w:t>
            </w:r>
          </w:p>
        </w:tc>
        <w:tc>
          <w:tcPr>
            <w:tcW w:w="1559" w:type="dxa"/>
            <w:noWrap/>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2021-2022</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9100</w:t>
            </w:r>
          </w:p>
        </w:tc>
        <w:tc>
          <w:tcPr>
            <w:tcW w:w="1304" w:type="dxa"/>
            <w:noWrap/>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10</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黑龙江省抚远市2021年棚户区改造安置项目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计划进行棚户区改造1100户，改造面积6.6万平方米，腾空土地22万平方米，涉及人口3000人</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2021</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22000</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129" w:type="dxa"/>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sz w:val="21"/>
                <w:szCs w:val="21"/>
              </w:rPr>
              <w:t>11</w:t>
            </w:r>
          </w:p>
        </w:tc>
        <w:tc>
          <w:tcPr>
            <w:tcW w:w="2523" w:type="dxa"/>
            <w:vAlign w:val="center"/>
          </w:tcPr>
          <w:p>
            <w:pPr>
              <w:spacing w:line="240" w:lineRule="auto"/>
              <w:ind w:firstLine="0" w:firstLineChars="0"/>
              <w:jc w:val="center"/>
              <w:rPr>
                <w:rFonts w:ascii="Times New Roman" w:hAnsi="Times New Roman" w:cs="Times New Roman"/>
                <w:kern w:val="0"/>
                <w:sz w:val="21"/>
                <w:szCs w:val="20"/>
              </w:rPr>
            </w:pPr>
            <w:r>
              <w:rPr>
                <w:rFonts w:hint="eastAsia" w:ascii="Times New Roman" w:hAnsi="Times New Roman" w:cs="Times New Roman"/>
                <w:kern w:val="0"/>
                <w:sz w:val="21"/>
                <w:szCs w:val="20"/>
              </w:rPr>
              <w:t>抚远市黑瞎子岛镇东极村（一期）住房建设项目</w:t>
            </w:r>
          </w:p>
        </w:tc>
        <w:tc>
          <w:tcPr>
            <w:tcW w:w="1588" w:type="dxa"/>
            <w:vAlign w:val="center"/>
          </w:tcPr>
          <w:p>
            <w:pPr>
              <w:spacing w:line="240" w:lineRule="auto"/>
              <w:ind w:firstLine="0" w:firstLineChars="0"/>
              <w:jc w:val="center"/>
              <w:rPr>
                <w:rFonts w:ascii="Times New Roman" w:hAnsi="Times New Roman" w:cs="Times New Roman"/>
                <w:kern w:val="0"/>
                <w:sz w:val="21"/>
                <w:szCs w:val="20"/>
              </w:rPr>
            </w:pPr>
            <w:r>
              <w:rPr>
                <w:rFonts w:hint="eastAsia" w:ascii="Times New Roman" w:hAnsi="Times New Roman" w:cs="Times New Roman"/>
                <w:kern w:val="0"/>
                <w:sz w:val="21"/>
                <w:szCs w:val="20"/>
              </w:rPr>
              <w:t>抚远市黑瞎子岛镇</w:t>
            </w:r>
          </w:p>
        </w:tc>
        <w:tc>
          <w:tcPr>
            <w:tcW w:w="4536" w:type="dxa"/>
            <w:vAlign w:val="center"/>
          </w:tcPr>
          <w:p>
            <w:pPr>
              <w:spacing w:line="240" w:lineRule="auto"/>
              <w:ind w:firstLine="0" w:firstLineChars="0"/>
              <w:jc w:val="center"/>
              <w:rPr>
                <w:rFonts w:ascii="Times New Roman" w:hAnsi="Times New Roman" w:cs="Times New Roman"/>
                <w:kern w:val="0"/>
                <w:sz w:val="21"/>
                <w:szCs w:val="20"/>
              </w:rPr>
            </w:pPr>
            <w:r>
              <w:rPr>
                <w:rFonts w:hint="eastAsia" w:ascii="Times New Roman" w:hAnsi="Times New Roman" w:cs="Times New Roman"/>
                <w:kern w:val="0"/>
                <w:sz w:val="21"/>
                <w:szCs w:val="20"/>
              </w:rPr>
              <w:t>总建筑面积1.2万平方米，安置162户</w:t>
            </w:r>
          </w:p>
        </w:tc>
        <w:tc>
          <w:tcPr>
            <w:tcW w:w="1559" w:type="dxa"/>
            <w:vAlign w:val="center"/>
          </w:tcPr>
          <w:p>
            <w:pPr>
              <w:spacing w:line="240" w:lineRule="auto"/>
              <w:ind w:firstLine="0" w:firstLineChars="0"/>
              <w:jc w:val="center"/>
              <w:rPr>
                <w:rFonts w:ascii="Times New Roman" w:hAnsi="Times New Roman" w:cs="Times New Roman"/>
                <w:kern w:val="0"/>
                <w:sz w:val="21"/>
                <w:szCs w:val="20"/>
              </w:rPr>
            </w:pPr>
            <w:r>
              <w:rPr>
                <w:rFonts w:hint="eastAsia" w:ascii="Times New Roman" w:hAnsi="Times New Roman" w:cs="Times New Roman"/>
                <w:kern w:val="0"/>
                <w:sz w:val="21"/>
                <w:szCs w:val="20"/>
              </w:rPr>
              <w:t>2021</w:t>
            </w:r>
          </w:p>
        </w:tc>
        <w:tc>
          <w:tcPr>
            <w:tcW w:w="1673" w:type="dxa"/>
            <w:vAlign w:val="center"/>
          </w:tcPr>
          <w:p>
            <w:pPr>
              <w:spacing w:line="240" w:lineRule="auto"/>
              <w:ind w:firstLine="0" w:firstLineChars="0"/>
              <w:jc w:val="center"/>
              <w:rPr>
                <w:rFonts w:ascii="Times New Roman" w:hAnsi="Times New Roman" w:cs="Times New Roman"/>
                <w:kern w:val="0"/>
                <w:sz w:val="21"/>
                <w:szCs w:val="20"/>
              </w:rPr>
            </w:pPr>
            <w:r>
              <w:rPr>
                <w:rFonts w:hint="eastAsia" w:ascii="Times New Roman" w:hAnsi="Times New Roman" w:cs="Times New Roman"/>
                <w:kern w:val="0"/>
                <w:sz w:val="21"/>
                <w:szCs w:val="20"/>
              </w:rPr>
              <w:t>3300</w:t>
            </w:r>
          </w:p>
        </w:tc>
        <w:tc>
          <w:tcPr>
            <w:tcW w:w="1304" w:type="dxa"/>
            <w:vAlign w:val="center"/>
          </w:tcPr>
          <w:p>
            <w:pPr>
              <w:spacing w:line="240" w:lineRule="auto"/>
              <w:ind w:firstLine="0" w:firstLineChars="0"/>
              <w:jc w:val="center"/>
              <w:rPr>
                <w:rFonts w:ascii="Times New Roman" w:hAnsi="Times New Roman" w:cs="Times New Roman"/>
                <w:kern w:val="0"/>
                <w:sz w:val="21"/>
                <w:szCs w:val="20"/>
              </w:rPr>
            </w:pPr>
            <w:r>
              <w:rPr>
                <w:rFonts w:hint="eastAsia" w:ascii="Times New Roman" w:hAnsi="Times New Roman" w:cs="Times New Roman"/>
                <w:kern w:val="0"/>
                <w:sz w:val="21"/>
                <w:szCs w:val="20"/>
              </w:rPr>
              <w:t>黑瞎子岛镇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12</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黑龙江省抚远市镇政府住宅楼老旧小区改造项目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更换地下排水管线64</w:t>
            </w:r>
            <w:r>
              <w:rPr>
                <w:rFonts w:ascii="Times New Roman" w:hAnsi="Times New Roman"/>
                <w:sz w:val="21"/>
                <w:szCs w:val="21"/>
              </w:rPr>
              <w:t>米</w:t>
            </w:r>
            <w:r>
              <w:rPr>
                <w:rFonts w:hint="eastAsia" w:ascii="Times New Roman" w:hAnsi="Times New Roman"/>
                <w:sz w:val="21"/>
                <w:szCs w:val="21"/>
              </w:rPr>
              <w:t>，更换DN80地下供热管线120</w:t>
            </w:r>
            <w:r>
              <w:rPr>
                <w:rFonts w:ascii="Times New Roman" w:hAnsi="Times New Roman"/>
                <w:sz w:val="21"/>
                <w:szCs w:val="21"/>
              </w:rPr>
              <w:t>米</w:t>
            </w:r>
            <w:r>
              <w:rPr>
                <w:rFonts w:hint="eastAsia" w:ascii="Times New Roman" w:hAnsi="Times New Roman"/>
                <w:sz w:val="21"/>
                <w:szCs w:val="21"/>
              </w:rPr>
              <w:t>，改造更换电线2485</w:t>
            </w:r>
            <w:r>
              <w:rPr>
                <w:rFonts w:ascii="Times New Roman" w:hAnsi="Times New Roman"/>
                <w:sz w:val="21"/>
                <w:szCs w:val="21"/>
              </w:rPr>
              <w:t>米</w:t>
            </w:r>
            <w:r>
              <w:rPr>
                <w:rFonts w:hint="eastAsia" w:ascii="Times New Roman" w:hAnsi="Times New Roman"/>
                <w:sz w:val="21"/>
                <w:szCs w:val="21"/>
              </w:rPr>
              <w:t>，更换电表箱3个，安装路灯3盏</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2020</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30.82</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13</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黑龙江省抚远市砖厂住宅楼老旧小区改造项目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更换地下排水管线250</w:t>
            </w:r>
            <w:r>
              <w:rPr>
                <w:rFonts w:ascii="Times New Roman" w:hAnsi="Times New Roman"/>
                <w:sz w:val="21"/>
                <w:szCs w:val="21"/>
              </w:rPr>
              <w:t>米</w:t>
            </w:r>
            <w:r>
              <w:rPr>
                <w:rFonts w:hint="eastAsia" w:ascii="Times New Roman" w:hAnsi="Times New Roman"/>
                <w:sz w:val="21"/>
                <w:szCs w:val="21"/>
              </w:rPr>
              <w:t>，更换DN100地下供热管线300</w:t>
            </w:r>
            <w:r>
              <w:rPr>
                <w:rFonts w:ascii="Times New Roman" w:hAnsi="Times New Roman"/>
                <w:sz w:val="21"/>
                <w:szCs w:val="21"/>
              </w:rPr>
              <w:t>米</w:t>
            </w:r>
            <w:r>
              <w:rPr>
                <w:rFonts w:hint="eastAsia" w:ascii="Times New Roman" w:hAnsi="Times New Roman"/>
                <w:sz w:val="21"/>
                <w:szCs w:val="21"/>
              </w:rPr>
              <w:t>，庭院硬化1024</w:t>
            </w:r>
            <w:r>
              <w:rPr>
                <w:rFonts w:ascii="Times New Roman" w:hAnsi="Times New Roman"/>
                <w:sz w:val="21"/>
                <w:szCs w:val="21"/>
              </w:rPr>
              <w:t>平方米</w:t>
            </w:r>
            <w:r>
              <w:rPr>
                <w:rFonts w:hint="eastAsia" w:ascii="Times New Roman" w:hAnsi="Times New Roman"/>
                <w:sz w:val="21"/>
                <w:szCs w:val="21"/>
              </w:rPr>
              <w:t>，安装路灯2盏</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2020</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23.28</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14</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黑龙江省抚远市房产住宅楼老旧小区改造项目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更换地下排水管线150</w:t>
            </w:r>
            <w:r>
              <w:rPr>
                <w:rFonts w:ascii="Times New Roman" w:hAnsi="Times New Roman"/>
                <w:sz w:val="21"/>
                <w:szCs w:val="21"/>
              </w:rPr>
              <w:t>米</w:t>
            </w:r>
            <w:r>
              <w:rPr>
                <w:rFonts w:hint="eastAsia" w:ascii="Times New Roman" w:hAnsi="Times New Roman"/>
                <w:sz w:val="21"/>
                <w:szCs w:val="21"/>
              </w:rPr>
              <w:t>，更换DN80地下供热管线280</w:t>
            </w:r>
            <w:r>
              <w:rPr>
                <w:rFonts w:ascii="Times New Roman" w:hAnsi="Times New Roman"/>
                <w:sz w:val="21"/>
                <w:szCs w:val="21"/>
              </w:rPr>
              <w:t>米</w:t>
            </w:r>
            <w:r>
              <w:rPr>
                <w:rFonts w:hint="eastAsia" w:ascii="Times New Roman" w:hAnsi="Times New Roman"/>
                <w:sz w:val="21"/>
                <w:szCs w:val="21"/>
              </w:rPr>
              <w:t>，安装路灯4盏。</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2020</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94.59</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15</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黑龙江省抚远市文体住宅楼老旧小区改造配套项目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改造排水明沟145</w:t>
            </w:r>
            <w:r>
              <w:rPr>
                <w:rFonts w:ascii="Times New Roman" w:hAnsi="Times New Roman"/>
                <w:sz w:val="21"/>
                <w:szCs w:val="21"/>
              </w:rPr>
              <w:t>米</w:t>
            </w:r>
            <w:r>
              <w:rPr>
                <w:rFonts w:hint="eastAsia" w:ascii="Times New Roman" w:hAnsi="Times New Roman"/>
                <w:sz w:val="21"/>
                <w:szCs w:val="21"/>
              </w:rPr>
              <w:t>，台阶改造40</w:t>
            </w:r>
            <w:r>
              <w:rPr>
                <w:rFonts w:ascii="Times New Roman" w:hAnsi="Times New Roman"/>
                <w:sz w:val="21"/>
                <w:szCs w:val="21"/>
              </w:rPr>
              <w:t>平方米</w:t>
            </w:r>
            <w:r>
              <w:rPr>
                <w:rFonts w:hint="eastAsia" w:ascii="Times New Roman" w:hAnsi="Times New Roman"/>
                <w:sz w:val="21"/>
                <w:szCs w:val="21"/>
              </w:rPr>
              <w:t>，围墙改造20</w:t>
            </w:r>
            <w:r>
              <w:rPr>
                <w:rFonts w:ascii="Times New Roman" w:hAnsi="Times New Roman"/>
                <w:sz w:val="21"/>
                <w:szCs w:val="21"/>
              </w:rPr>
              <w:t>米</w:t>
            </w:r>
            <w:r>
              <w:rPr>
                <w:rFonts w:hint="eastAsia" w:ascii="Times New Roman" w:hAnsi="Times New Roman"/>
                <w:sz w:val="21"/>
                <w:szCs w:val="21"/>
              </w:rPr>
              <w:t>，绿地70</w:t>
            </w:r>
            <w:r>
              <w:rPr>
                <w:rFonts w:ascii="Times New Roman" w:hAnsi="Times New Roman"/>
                <w:sz w:val="21"/>
                <w:szCs w:val="21"/>
              </w:rPr>
              <w:t>平方米</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2020</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23.4</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16</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黑龙江省抚远市老国税住宅楼老旧小区改造项目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更换DN200地下排水管线90</w:t>
            </w:r>
            <w:r>
              <w:rPr>
                <w:rFonts w:ascii="Times New Roman" w:hAnsi="Times New Roman"/>
                <w:sz w:val="21"/>
                <w:szCs w:val="21"/>
              </w:rPr>
              <w:t>米</w:t>
            </w:r>
            <w:r>
              <w:rPr>
                <w:rFonts w:hint="eastAsia" w:ascii="Times New Roman" w:hAnsi="Times New Roman"/>
                <w:sz w:val="21"/>
                <w:szCs w:val="21"/>
              </w:rPr>
              <w:t>，更换DN100地下供热管线220</w:t>
            </w:r>
            <w:r>
              <w:rPr>
                <w:rFonts w:ascii="Times New Roman" w:hAnsi="Times New Roman"/>
                <w:sz w:val="21"/>
                <w:szCs w:val="21"/>
              </w:rPr>
              <w:t>米</w:t>
            </w:r>
            <w:r>
              <w:rPr>
                <w:rFonts w:hint="eastAsia" w:ascii="Times New Roman" w:hAnsi="Times New Roman"/>
                <w:sz w:val="21"/>
                <w:szCs w:val="21"/>
              </w:rPr>
              <w:t>，庭院硬化900</w:t>
            </w:r>
            <w:r>
              <w:rPr>
                <w:rFonts w:ascii="Times New Roman" w:hAnsi="Times New Roman"/>
                <w:sz w:val="21"/>
                <w:szCs w:val="21"/>
              </w:rPr>
              <w:t>平方米</w:t>
            </w:r>
            <w:r>
              <w:rPr>
                <w:rFonts w:hint="eastAsia" w:ascii="Times New Roman" w:hAnsi="Times New Roman"/>
                <w:sz w:val="21"/>
                <w:szCs w:val="21"/>
              </w:rPr>
              <w:t>，更换改造电缆1395</w:t>
            </w:r>
            <w:r>
              <w:rPr>
                <w:rFonts w:ascii="Times New Roman" w:hAnsi="Times New Roman"/>
                <w:sz w:val="21"/>
                <w:szCs w:val="21"/>
              </w:rPr>
              <w:t>米</w:t>
            </w:r>
            <w:r>
              <w:rPr>
                <w:rFonts w:hint="eastAsia" w:ascii="Times New Roman" w:hAnsi="Times New Roman"/>
                <w:sz w:val="21"/>
                <w:szCs w:val="21"/>
              </w:rPr>
              <w:t>，安装电缆分支箱4台、箱安装路灯2盏</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2020</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619.33</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17</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黑龙江省抚远市文体住宅楼老旧小区改造项目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更换地下排水管线103</w:t>
            </w:r>
            <w:r>
              <w:rPr>
                <w:rFonts w:ascii="Times New Roman" w:hAnsi="Times New Roman"/>
                <w:sz w:val="21"/>
                <w:szCs w:val="21"/>
              </w:rPr>
              <w:t>米</w:t>
            </w:r>
            <w:r>
              <w:rPr>
                <w:rFonts w:hint="eastAsia" w:ascii="Times New Roman" w:hAnsi="Times New Roman"/>
                <w:sz w:val="21"/>
                <w:szCs w:val="21"/>
              </w:rPr>
              <w:t>，更换DN100地下供热管线320</w:t>
            </w:r>
            <w:r>
              <w:rPr>
                <w:rFonts w:ascii="Times New Roman" w:hAnsi="Times New Roman"/>
                <w:sz w:val="21"/>
                <w:szCs w:val="21"/>
              </w:rPr>
              <w:t>米</w:t>
            </w:r>
            <w:r>
              <w:rPr>
                <w:rFonts w:hint="eastAsia" w:ascii="Times New Roman" w:hAnsi="Times New Roman"/>
                <w:sz w:val="21"/>
                <w:szCs w:val="21"/>
              </w:rPr>
              <w:t>，更换电线4120</w:t>
            </w:r>
            <w:r>
              <w:rPr>
                <w:rFonts w:ascii="Times New Roman" w:hAnsi="Times New Roman"/>
                <w:sz w:val="21"/>
                <w:szCs w:val="21"/>
              </w:rPr>
              <w:t>米</w:t>
            </w:r>
            <w:r>
              <w:rPr>
                <w:rFonts w:hint="eastAsia" w:ascii="Times New Roman" w:hAnsi="Times New Roman"/>
                <w:sz w:val="21"/>
                <w:szCs w:val="21"/>
              </w:rPr>
              <w:t>，庭院硬化1050</w:t>
            </w:r>
            <w:r>
              <w:rPr>
                <w:rFonts w:ascii="Times New Roman" w:hAnsi="Times New Roman"/>
                <w:sz w:val="21"/>
                <w:szCs w:val="21"/>
              </w:rPr>
              <w:t>平方米</w:t>
            </w:r>
            <w:r>
              <w:rPr>
                <w:rFonts w:hint="eastAsia" w:ascii="Times New Roman" w:hAnsi="Times New Roman"/>
                <w:sz w:val="21"/>
                <w:szCs w:val="21"/>
              </w:rPr>
              <w:t>，安装路灯4盏</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2020</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110.28</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18</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黑龙江省抚远市教育住宅楼老旧小区改造项目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更换地下排水管线104</w:t>
            </w:r>
            <w:r>
              <w:rPr>
                <w:rFonts w:ascii="Times New Roman" w:hAnsi="Times New Roman"/>
                <w:sz w:val="21"/>
                <w:szCs w:val="21"/>
              </w:rPr>
              <w:t>米</w:t>
            </w:r>
            <w:r>
              <w:rPr>
                <w:rFonts w:hint="eastAsia" w:ascii="Times New Roman" w:hAnsi="Times New Roman"/>
                <w:sz w:val="21"/>
                <w:szCs w:val="21"/>
              </w:rPr>
              <w:t>，维修、清掏污水井7座，更换DN100地下供热管线300</w:t>
            </w:r>
            <w:r>
              <w:rPr>
                <w:rFonts w:ascii="Times New Roman" w:hAnsi="Times New Roman"/>
                <w:sz w:val="21"/>
                <w:szCs w:val="21"/>
              </w:rPr>
              <w:t>米</w:t>
            </w:r>
            <w:r>
              <w:rPr>
                <w:rFonts w:hint="eastAsia" w:ascii="Times New Roman" w:hAnsi="Times New Roman"/>
                <w:sz w:val="21"/>
                <w:szCs w:val="21"/>
              </w:rPr>
              <w:t>，更换DN80供热管线72</w:t>
            </w:r>
            <w:r>
              <w:rPr>
                <w:rFonts w:ascii="Times New Roman" w:hAnsi="Times New Roman"/>
                <w:sz w:val="21"/>
                <w:szCs w:val="21"/>
              </w:rPr>
              <w:t>米</w:t>
            </w:r>
            <w:r>
              <w:rPr>
                <w:rFonts w:hint="eastAsia" w:ascii="Times New Roman" w:hAnsi="Times New Roman"/>
                <w:sz w:val="21"/>
                <w:szCs w:val="21"/>
              </w:rPr>
              <w:t>，更换小区箱式变压器 1台，安装路灯4盏</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2020</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69.95</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19</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黑龙江省抚远市种子公司厢楼老旧小区改造项目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更换DN200地下排水管线90</w:t>
            </w:r>
            <w:r>
              <w:rPr>
                <w:rFonts w:ascii="Times New Roman" w:hAnsi="Times New Roman"/>
                <w:sz w:val="21"/>
                <w:szCs w:val="21"/>
              </w:rPr>
              <w:t>米</w:t>
            </w:r>
            <w:r>
              <w:rPr>
                <w:rFonts w:hint="eastAsia" w:ascii="Times New Roman" w:hAnsi="Times New Roman"/>
                <w:sz w:val="21"/>
                <w:szCs w:val="21"/>
              </w:rPr>
              <w:t>，更换DN100地下供热管线220</w:t>
            </w:r>
            <w:r>
              <w:rPr>
                <w:rFonts w:ascii="Times New Roman" w:hAnsi="Times New Roman"/>
                <w:sz w:val="21"/>
                <w:szCs w:val="21"/>
              </w:rPr>
              <w:t>米</w:t>
            </w:r>
            <w:r>
              <w:rPr>
                <w:rFonts w:hint="eastAsia" w:ascii="Times New Roman" w:hAnsi="Times New Roman"/>
                <w:sz w:val="21"/>
                <w:szCs w:val="21"/>
              </w:rPr>
              <w:t>，庭院硬化900</w:t>
            </w:r>
            <w:r>
              <w:rPr>
                <w:rFonts w:ascii="Times New Roman" w:hAnsi="Times New Roman"/>
                <w:sz w:val="21"/>
                <w:szCs w:val="21"/>
              </w:rPr>
              <w:t>平方米</w:t>
            </w:r>
            <w:r>
              <w:rPr>
                <w:rFonts w:hint="eastAsia" w:ascii="Times New Roman" w:hAnsi="Times New Roman"/>
                <w:sz w:val="21"/>
                <w:szCs w:val="21"/>
              </w:rPr>
              <w:t>，更换改造电缆1395</w:t>
            </w:r>
            <w:r>
              <w:rPr>
                <w:rFonts w:ascii="Times New Roman" w:hAnsi="Times New Roman"/>
                <w:sz w:val="21"/>
                <w:szCs w:val="21"/>
              </w:rPr>
              <w:t>米</w:t>
            </w:r>
            <w:r>
              <w:rPr>
                <w:rFonts w:hint="eastAsia" w:ascii="Times New Roman" w:hAnsi="Times New Roman"/>
                <w:sz w:val="21"/>
                <w:szCs w:val="21"/>
              </w:rPr>
              <w:t>，安装电缆分支箱4台、箱安装路灯2盏</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2020</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80.91</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29" w:type="dxa"/>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sz w:val="21"/>
                <w:szCs w:val="21"/>
              </w:rPr>
              <w:t>20</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抚远市2021年城市供热老旧管网改造项目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改造供热老旧管网10.8公里</w:t>
            </w:r>
          </w:p>
        </w:tc>
        <w:tc>
          <w:tcPr>
            <w:tcW w:w="1559" w:type="dxa"/>
            <w:noWrap/>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2021-202</w:t>
            </w:r>
            <w:r>
              <w:rPr>
                <w:rFonts w:ascii="Times New Roman" w:hAnsi="Times New Roman"/>
                <w:sz w:val="21"/>
                <w:szCs w:val="21"/>
              </w:rPr>
              <w:t>3</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140</w:t>
            </w:r>
            <w:r>
              <w:rPr>
                <w:rFonts w:ascii="Times New Roman" w:hAnsi="Times New Roman"/>
                <w:sz w:val="21"/>
                <w:szCs w:val="21"/>
              </w:rPr>
              <w:t>0</w:t>
            </w:r>
          </w:p>
        </w:tc>
        <w:tc>
          <w:tcPr>
            <w:tcW w:w="1304" w:type="dxa"/>
            <w:noWrap/>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129" w:type="dxa"/>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sz w:val="21"/>
                <w:szCs w:val="21"/>
              </w:rPr>
              <w:t>21</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黑龙江省抚远市交警队住宅小区老旧小区改造配套基础设施项目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noWrap/>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出口铁艺及门禁1套，监控5套，室外变压器增容1台。室外给水管道85米，室外排水管道120米，污水井6座，地沟内给水管道95米，地沟内排水管道65米，地沟内采暖管道40米，室外采暖管道直埋136米，地沟清淘50米，增设庭院灯2盏</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2021</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95.04</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129" w:type="dxa"/>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sz w:val="21"/>
                <w:szCs w:val="21"/>
              </w:rPr>
              <w:t>22</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黑龙江省抚远市民政、粮库宅小区老旧小区改造楼本体改造工程项目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屋面彩钢板更换994.51平方米，更换水落管210.34米，更换成品烟道通风口30个，外墙保温加固、粉刷1825平方米，楼道内粉刷1204.5平方米，地沟盖板更换5个，楼梯栏杆扶手粉刷120米，声光控灯(12W)28套，线缆桥架敷设632.4米，供电配电箱5台</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2021</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103.78</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23</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抚远市浓桥镇东方红村村内道路</w:t>
            </w:r>
          </w:p>
        </w:tc>
        <w:tc>
          <w:tcPr>
            <w:tcW w:w="1588" w:type="dxa"/>
            <w:noWrap/>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浓桥镇</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新建四级白色路面8304米</w:t>
            </w:r>
          </w:p>
        </w:tc>
        <w:tc>
          <w:tcPr>
            <w:tcW w:w="1559" w:type="dxa"/>
            <w:noWrap/>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2020</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500</w:t>
            </w:r>
          </w:p>
        </w:tc>
        <w:tc>
          <w:tcPr>
            <w:tcW w:w="1304" w:type="dxa"/>
            <w:noWrap/>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浓桥镇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24</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抚远市浓桥镇基础设施建设项目</w:t>
            </w:r>
          </w:p>
        </w:tc>
        <w:tc>
          <w:tcPr>
            <w:tcW w:w="1588" w:type="dxa"/>
            <w:noWrap/>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浓桥镇</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新建村内道路、排水沟、铁艺围栏、外立面改造等</w:t>
            </w:r>
          </w:p>
        </w:tc>
        <w:tc>
          <w:tcPr>
            <w:tcW w:w="1559" w:type="dxa"/>
            <w:noWrap/>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2020-2021</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3500</w:t>
            </w:r>
          </w:p>
        </w:tc>
        <w:tc>
          <w:tcPr>
            <w:tcW w:w="1304" w:type="dxa"/>
            <w:noWrap/>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发改局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25</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醉美331XX公路抚远市景区连接线工程项目</w:t>
            </w:r>
          </w:p>
        </w:tc>
        <w:tc>
          <w:tcPr>
            <w:tcW w:w="1588" w:type="dxa"/>
            <w:noWrap/>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道路全长9.15公里</w:t>
            </w:r>
          </w:p>
        </w:tc>
        <w:tc>
          <w:tcPr>
            <w:tcW w:w="1559" w:type="dxa"/>
            <w:noWrap/>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2020-2021</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4300</w:t>
            </w:r>
          </w:p>
        </w:tc>
        <w:tc>
          <w:tcPr>
            <w:tcW w:w="1304" w:type="dxa"/>
            <w:noWrap/>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26</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黑龙江省抚远市水利住宅小区老旧小区改造楼本体改造工程项目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屋面防水及彩钢拆除重做780平方米，外立面保温加固及粉刷2475平方米，雨棚重新做防水16平方米，单元防盗门更换4樘，单元楼道粉刷864平方米，更换单元楼道地沟盖板4个，单元楼道内线缆桥架588米，楼梯间栏杆粉刷140米，楼梯间栏杆维修28米，声控灯头及灯座更换24个，屋面烟道通风口重做24个，清掏地沟144米</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2021</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97.15</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27</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黑龙江省抚远市水利住宅小区老旧小区改造配套基础设施项目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屋面彩钢板更换781.32平方米，更换水落管208.44米，雨棚防水保温14.35平方米，更换成品烟道通风口24个，外墙保温加固、粉刷2370.93平方米，楼道内粉刷831.72平方米，地沟盖板更换4个，楼梯栏杆、扶手维修3米，楼梯栏杆、扶手粉刷37.92米，声光控灯(12W)24套，线缆桥架敷设478米，供电配电箱4台</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2021</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65.98</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28</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黑龙江省抚远市种子公司厢楼老旧小区改造配套项目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沥青砼及彩砖地面改造500</w:t>
            </w:r>
            <w:r>
              <w:rPr>
                <w:rFonts w:ascii="Times New Roman" w:hAnsi="Times New Roman"/>
                <w:sz w:val="21"/>
                <w:szCs w:val="21"/>
              </w:rPr>
              <w:t>平方米</w:t>
            </w:r>
            <w:r>
              <w:rPr>
                <w:rFonts w:hint="eastAsia" w:ascii="Times New Roman" w:hAnsi="Times New Roman"/>
                <w:sz w:val="21"/>
                <w:szCs w:val="21"/>
              </w:rPr>
              <w:t>，改造排水明沟40</w:t>
            </w:r>
            <w:r>
              <w:rPr>
                <w:rFonts w:ascii="Times New Roman" w:hAnsi="Times New Roman"/>
                <w:sz w:val="21"/>
                <w:szCs w:val="21"/>
              </w:rPr>
              <w:t>米</w:t>
            </w:r>
            <w:r>
              <w:rPr>
                <w:rFonts w:hint="eastAsia" w:ascii="Times New Roman" w:hAnsi="Times New Roman"/>
                <w:sz w:val="21"/>
                <w:szCs w:val="21"/>
              </w:rPr>
              <w:t>，改造围墙10</w:t>
            </w:r>
            <w:r>
              <w:rPr>
                <w:rFonts w:ascii="Times New Roman" w:hAnsi="Times New Roman"/>
                <w:sz w:val="21"/>
                <w:szCs w:val="21"/>
              </w:rPr>
              <w:t>米</w:t>
            </w:r>
            <w:r>
              <w:rPr>
                <w:rFonts w:hint="eastAsia" w:ascii="Times New Roman" w:hAnsi="Times New Roman"/>
                <w:sz w:val="21"/>
                <w:szCs w:val="21"/>
              </w:rPr>
              <w:t>，改造平台扶手60</w:t>
            </w:r>
            <w:r>
              <w:rPr>
                <w:rFonts w:ascii="Times New Roman" w:hAnsi="Times New Roman"/>
                <w:sz w:val="21"/>
                <w:szCs w:val="21"/>
              </w:rPr>
              <w:t>米</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2020</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27.75</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jc w:val="center"/>
        </w:trPr>
        <w:tc>
          <w:tcPr>
            <w:tcW w:w="1129" w:type="dxa"/>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sz w:val="21"/>
                <w:szCs w:val="21"/>
              </w:rPr>
              <w:t>29</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黑龙江省抚远市老农行、人民银行住宅小区老旧小区改造楼本体改造工程项目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屋面彩钢板更换651.93平方米，更换水落管152米，雨棚防水保温32.16平方米，更换成品烟道通风口18个，外墙保温加固2007平方米、粉刷3747平方米，地沟盖板更换7个，楼梯栏杆扶手维修9米，楼梯栏杆扶手粉刷149.31米，装饰装修外脚手架3747平方米，声光控灯(12W)45套，线缆桥架敷设871.4米，供电配电箱7台</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2021</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125.52</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29" w:type="dxa"/>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sz w:val="21"/>
                <w:szCs w:val="21"/>
              </w:rPr>
              <w:t>30</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黑龙江省抚远市老农行、人民银行住宅小区老旧小区改造配套基础设施项目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更换水篦子37平方米，排水沟维修33米，庭院灯3盏，进出口铁艺及门禁1套，监控7套，室外变压器增容2台。室外给水管道40米，室外排水管道120米，地沟内给水管道195米，地沟内排水管道120米，室外采暖管道直埋88米，污水井7座，地沟清淘186米。改造档墙47米</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2021</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141.01</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31</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黑龙江省抚远市老审计、发行、粮食局住宅小区老旧小区改造楼本体改造工程项目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单元门更换10樘，楼梯维修30樘，屋面彩钢板更换2021平方米，更换水落管458米，雨棚防水保温40平方米，更换成品烟道通风口60个，外墙保温加固、粉刷4510平方米，楼道内粉刷2240平方米，楼梯栏杆扶手粉刷266.66米，室外楼梯栏杆扶手粉刷100米，楼梯栏杆扶手维修4米，地沟盖板更换7个，台阶拆除重做146.04平方米，声光控灯(12W)71套，线缆桥架敷设1347.6米，供电配电箱10台</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2021</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235.61</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32</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黑龙江省抚远市老审计、发行、粮食局住宅小区老旧小区改造配套基础设施项目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庭院硬化559平方米，台阶拆除重做4个，庭院灯5盏，进出口铁艺及门禁1套，监控10套，车辆出入管理系统（电子杆）1 套，室外变压器增容2台。室外给水管道长度46米，室外排水管道长度163米，污水井10座，地沟内给水管道313米，地沟内排水管道118米，地沟清淘243米，室外采暖管道直埋320米</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2021</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139.18</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29" w:type="dxa"/>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sz w:val="21"/>
                <w:szCs w:val="21"/>
              </w:rPr>
              <w:t>33</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黑龙江省抚远市建材、交通保险住宅小区老旧小区改造配套基础设施项目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庭院硬化300平方米，庭院灯2盏，监控5套，室外变压器增容2台。室外给水管道35米，给水阀门2个，室外排水管道96米，地沟内给水管道165米，地沟内排水管道95米，室外采暖管道直埋140米，入户井1座，污水井6座，地沟清淘144米</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2021</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110.83</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29" w:type="dxa"/>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sz w:val="21"/>
                <w:szCs w:val="21"/>
              </w:rPr>
              <w:t>34</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黑龙江省抚远市工商行住宅小区老旧小区改造楼本体改造工程项目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屋面彩钢板更换926.017平方米；更换水落管288米；雨棚防水保温153.6平方米；更换成品烟道通风口24个；外墙保温加固、粉刷3684.44平方米；单元门更换4樘；楼梯栏杆扶手粉刷85.32米；声光控灯(12W)24套，线缆桥架敷设539.2米，供电配电箱4台</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2021</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121.66</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29" w:type="dxa"/>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sz w:val="21"/>
                <w:szCs w:val="21"/>
              </w:rPr>
              <w:t>35</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黑龙江省抚远市工商行住宅小区老旧小区改造配套基础设施项目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监控4套，室外变压器增容1台。室外给水管道20米，室外排水管道83米，地沟内给水管道135米，地沟内排水管道80米，污水井4座，地沟清淘130米</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2021</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70.77</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129" w:type="dxa"/>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sz w:val="21"/>
                <w:szCs w:val="21"/>
              </w:rPr>
              <w:t>36</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黑龙江省抚远市劳动服务公司宅小区老旧小区改造楼本体改造工程项目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屋面彩钢板更换1620.04平方米，更换水落管426米，雨棚防水、保温30.72平方米，更换成品烟道通风口24个，外墙保温加固、粉刷4586平方米，声光控灯(12W)56套，线缆桥架敷设980.4米，供电配电箱8台</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2021</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185.8</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129" w:type="dxa"/>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sz w:val="21"/>
                <w:szCs w:val="21"/>
              </w:rPr>
              <w:t>37</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黑龙江省抚远市劳动服务公司住宅小区老旧小区改造配套基础设施项目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庭院硬化336平方米，更换成品水篦子27平方米，庭院灯6盏，进出口铁艺及门禁2套，监控8套。室外给水管道长度18米，室外排水管道长度127米，污水井8座，室外采暖管道直埋150米，地沟内给水管道221米，地沟内排水管道105米，地沟清淘308米，改造护坡281.71立方米，彩砖拆除336平方米，增设绿化289平方米。增设甬道30平方米。增设栏杆74米，增设散水20平方米</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2021</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111.35</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129" w:type="dxa"/>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sz w:val="21"/>
                <w:szCs w:val="21"/>
              </w:rPr>
              <w:t>38</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黑龙江省抚远市邮政局、新农行住宅小区老旧小区改造楼本体改造工程项目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屋面彩钢板更换1793.77平方米；更换水落管317.34米；雨棚防水保温19.32平方米；更换成品烟道通风口30个；外墙保温加固、粉刷5693.14平方米；楼道内粉刷1940.79平方米；单元门更换8樘；楼梯间窗维修5樘；地沟盖板更换3个；楼梯栏杆扶手粉刷36米；声光控灯(12W)56套，线缆桥架敷设1079.7米，供电配电箱8台</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2021</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213.8</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jc w:val="center"/>
        </w:trPr>
        <w:tc>
          <w:tcPr>
            <w:tcW w:w="1129" w:type="dxa"/>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sz w:val="21"/>
                <w:szCs w:val="21"/>
              </w:rPr>
              <w:t>39</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黑龙江省抚远市邮政局、新农行住宅小区老旧小区改造配套基础设施项目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庭院硬化1000平方米，绿化400平方米，庭院灯4盏，进出口铁艺及门禁1套，车辆出入管理系统（电子杆）1 套，监控8套，室外变压器增容1台。室外给水管道长度40米，室外排水管道长度161米，污水井9座，地沟内给水管道265米，地沟内排水管道105米，地沟清淘200米，室外采暖管道直埋352米。改造档土墙87米，排水沟改造87米，亭子改造1座，增设路缘石100米</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2021</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192</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1129" w:type="dxa"/>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sz w:val="21"/>
                <w:szCs w:val="21"/>
              </w:rPr>
              <w:t>40</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黑龙江省抚远市种子公司正楼、江边１号、江边２号、江边６号、江边７号、老干部、老海关住宅小区老旧小区改造楼本体改造工程项目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屋面彩钢板更换3064.24平方米，更换水落管941.1米，雨棚防水保温33.55平方米，更换成品烟道通风口106个，外墙保温加固、粉刷13129.71平方米，楼道内粉刷603.06平方米，单元门更换3樘，走廊窗更换21樘，楼梯间窗维修12樘。新做老虎窗9个，地沟盖板更换12个，台阶拆除重做109.53平方米，楼梯栏杆扶手维修10米，楼梯栏杆扶手粉刷63.99米，声光控灯(12W)146套，线缆桥架敷设2812.4米，供电配电箱21台</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2021</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473.85</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1129" w:type="dxa"/>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sz w:val="21"/>
                <w:szCs w:val="21"/>
              </w:rPr>
              <w:t>41</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黑龙江省抚远市种子公司正楼、江边１号、江边２号、江边６号、江边７号、老干部、老海关住宅小区老旧小区改造配套基础设施项目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庭院硬化950平方米，维修护坡24.77米，平台改造29.29平方米，挡墙改造57.72平方米，增设护栏82.49米，增设绿化181.71平方米，绿植50棵。庭院灯12盏，进出口铁艺及门禁7套，监控42套，室外变压器增容2台。室外给水管道137米，室外排水管道419米，污水井24座，地沟内给水管道745米，地沟内排水管道418米，地沟清淘704米。新建碳化木廊架一座，碳化木亭3座，车行杆3套，增设甬道243米</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2021</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330.94</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29" w:type="dxa"/>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sz w:val="21"/>
                <w:szCs w:val="21"/>
              </w:rPr>
              <w:t>42</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黑龙江省抚远市建材、交通保险住宅小区老旧小区改造楼本体改造工程项目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雨棚保温10.8平方米，外墙保温加固、粉刷3630.9平方米，楼道内粉刷1102.93平方米，单元门更换3樘，地沟盖板更换5个，楼梯栏杆扶手维修35米，楼梯栏杆扶手粉刷106.65米，声光控灯(12W)38套，线缆桥架敷设664.5米，供电配电箱5台</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2021</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113.99</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29" w:type="dxa"/>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sz w:val="21"/>
                <w:szCs w:val="21"/>
              </w:rPr>
              <w:t>43</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黑龙江省抚远市民政、粮库宅小区老旧小区改造配套基础设施工程项目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更换铁艺栏杆13米，进出口铁艺及门禁1套，监控5套，室外变压器增容1台。室外给水管道29米，室外排水管道145米，地沟内给水管道285米，地沟内排水管道120米，污水井5座，地沟清淘142米，室外采暖管道直埋102米</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2021</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94.4</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29" w:type="dxa"/>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sz w:val="21"/>
                <w:szCs w:val="21"/>
              </w:rPr>
              <w:t>44</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黑龙江省抚远市老二院住宅小区老旧小区改造楼本体改造工程项目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屋面彩钢板更换1499.01平方米；更换水落管314.7米；雨棚防水保温22.54平方米；更换成品烟道通风口36个；外墙保温加固、粉刷3491.14平方米；声光控灯(12W)38套，线缆桥架敷设842.2米，供电配电箱6台</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2021</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146.61</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29" w:type="dxa"/>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sz w:val="21"/>
                <w:szCs w:val="21"/>
              </w:rPr>
              <w:t>45</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黑龙江省抚远市老二院宅小区老旧小区改造配套基础设施项目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庭院硬化改造592平方米，庭院灯3盏，进出口铁艺及门禁1套，车辆出入管理系统（电子杆）1 套，监控6套，室外变压器增容1台。室外给水管道17米，室外排水管道115米，地沟内给水管道215米，地沟内排水管道83米，污水井6座，地沟清淘140米。修复绿化80平方米</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2021</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103.75</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29" w:type="dxa"/>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sz w:val="21"/>
                <w:szCs w:val="21"/>
              </w:rPr>
              <w:t>46</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黑龙江省抚远市财政局住宅小区老旧小区改造楼本体改造工程项目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楼梯间窗维修20樘，屋面彩钢板更换1719.93平方米，更换水落管360米，雨棚防水保温30.72平方米，更换成品烟道通风口24个，墙面保温加固、粉刷4017</w:t>
            </w:r>
            <w:r>
              <w:rPr>
                <w:rFonts w:ascii="Times New Roman" w:hAnsi="Times New Roman"/>
                <w:sz w:val="21"/>
                <w:szCs w:val="21"/>
              </w:rPr>
              <w:t>平方米</w:t>
            </w:r>
            <w:r>
              <w:rPr>
                <w:rFonts w:hint="eastAsia" w:ascii="Times New Roman" w:hAnsi="Times New Roman"/>
                <w:sz w:val="21"/>
                <w:szCs w:val="21"/>
              </w:rPr>
              <w:t>，成品地沟盖板更换6个，声光控灯(12W)56套，线缆桥架敷设932.8米，供电配电箱8台</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2021</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178.74</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29" w:type="dxa"/>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sz w:val="21"/>
                <w:szCs w:val="21"/>
              </w:rPr>
              <w:t>47</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黑龙江省抚远市财政局宅小区老旧小区改造配套基础设施项目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建设物业用房36平方米，进出口铁艺门禁1套，监控8套，室外变压器增容1台。室外给水管道长度37米，室外排水管道长度138米，污水井9座，地沟内给水管道205米，地沟内排水管道105米，地沟清淘200米。增设明排850平方米，铺设彩砖350平方米，拆除砖墙3.8米</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2021</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144.97</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312" w:type="dxa"/>
            <w:gridSpan w:val="7"/>
            <w:noWrap/>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b/>
                <w:bCs/>
                <w:color w:val="000000"/>
                <w:szCs w:val="28"/>
              </w:rPr>
              <w:t>污水处理类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48</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抚远市寒葱沟镇污水处理厂建设工程</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抚远市寒葱沟镇</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寒葱沟镇污水管网工程污水主管线6900米，入户480 户，检查井344座，购置5立方米吸污车1台</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2019-2020</w:t>
            </w:r>
          </w:p>
        </w:tc>
        <w:tc>
          <w:tcPr>
            <w:tcW w:w="1673" w:type="dxa"/>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1778.57</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抚远市供排水公司；住建局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49</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污水处理厂提标改造建设</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黑龙江抚远镇江段下游处</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改造生化池1座；新建配水井及回流泵房、二沉池、高密沉淀池、活性砂滤池、次氯酸钠接触池、加药间各1座，建成后出水水质将达到一级A标准</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2019-2020</w:t>
            </w:r>
          </w:p>
        </w:tc>
        <w:tc>
          <w:tcPr>
            <w:tcW w:w="1673" w:type="dxa"/>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4243.53</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抚远市供排水公司；住建局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50</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抚远市寒葱沟镇污水处理厂工程项目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寒葱沟镇</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抚远市寒葱沟镇污水处理厂设计规模为300m</w:t>
            </w:r>
            <w:r>
              <w:rPr>
                <w:rFonts w:hint="eastAsia" w:ascii="Times New Roman" w:hAnsi="Times New Roman"/>
                <w:sz w:val="21"/>
                <w:szCs w:val="21"/>
                <w:vertAlign w:val="superscript"/>
              </w:rPr>
              <w:t>3</w:t>
            </w:r>
            <w:r>
              <w:rPr>
                <w:rFonts w:hint="eastAsia" w:ascii="Times New Roman" w:hAnsi="Times New Roman"/>
                <w:sz w:val="21"/>
                <w:szCs w:val="21"/>
              </w:rPr>
              <w:t>/d。综合用房、厂区工程和厂外工程。污水处理综合用房包括预处理段、二级处理段、消毒段、污泥处理段、辅助用房等，工艺尺寸：24.0×15.0×4.3</w:t>
            </w:r>
            <w:r>
              <w:rPr>
                <w:rFonts w:ascii="Times New Roman" w:hAnsi="Times New Roman"/>
                <w:sz w:val="21"/>
                <w:szCs w:val="21"/>
              </w:rPr>
              <w:t>米</w:t>
            </w:r>
            <w:r>
              <w:rPr>
                <w:rFonts w:hint="eastAsia" w:ascii="Times New Roman" w:hAnsi="Times New Roman"/>
                <w:sz w:val="21"/>
                <w:szCs w:val="21"/>
              </w:rPr>
              <w:t>（建筑物轴线尺寸）</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2019-2020</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768.99</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抚远市供排水公司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312" w:type="dxa"/>
            <w:gridSpan w:val="7"/>
            <w:noWrap/>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b/>
                <w:bCs/>
                <w:color w:val="000000"/>
                <w:szCs w:val="28"/>
              </w:rPr>
              <w:t>饮用水处理类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51</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黑龙江省抚远市农村饮水安全供水设施维修、维护改造项目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主要改造内容有：（1）农村水源地安装围栏1602.46米；（2）水房室内维修改造（更换防盗门2个、室内墙壁扣板383</w:t>
            </w:r>
            <w:r>
              <w:rPr>
                <w:rFonts w:ascii="Times New Roman" w:hAnsi="Times New Roman"/>
                <w:sz w:val="21"/>
                <w:szCs w:val="21"/>
              </w:rPr>
              <w:t>平方米</w:t>
            </w:r>
            <w:r>
              <w:rPr>
                <w:rFonts w:hint="eastAsia" w:ascii="Times New Roman" w:hAnsi="Times New Roman"/>
                <w:sz w:val="21"/>
                <w:szCs w:val="21"/>
              </w:rPr>
              <w:t>一处）；（3）水房房屋改造2座；（4）改造2处水房水处理设备（设备拆装）；（5）水房安装窗户护栏54处；（6）更换6处水处理间工艺管道；（7）建设水源井一座；（8）100</w:t>
            </w:r>
            <w:r>
              <w:rPr>
                <w:rFonts w:ascii="Times New Roman" w:hAnsi="Times New Roman"/>
                <w:sz w:val="21"/>
                <w:szCs w:val="21"/>
              </w:rPr>
              <w:t>平方米</w:t>
            </w:r>
            <w:r>
              <w:rPr>
                <w:rFonts w:hint="eastAsia" w:ascii="Times New Roman" w:hAnsi="Times New Roman"/>
                <w:sz w:val="21"/>
                <w:szCs w:val="21"/>
              </w:rPr>
              <w:t>水处理间一座；（9）安装水处理设备一套；（10）建设供水管网340</w:t>
            </w:r>
            <w:r>
              <w:rPr>
                <w:rFonts w:ascii="Times New Roman" w:hAnsi="Times New Roman"/>
                <w:sz w:val="21"/>
                <w:szCs w:val="21"/>
              </w:rPr>
              <w:t>米</w:t>
            </w:r>
            <w:r>
              <w:rPr>
                <w:rFonts w:hint="eastAsia" w:ascii="Times New Roman" w:hAnsi="Times New Roman"/>
                <w:sz w:val="21"/>
                <w:szCs w:val="21"/>
              </w:rPr>
              <w:t>。 建设地点为抚远市9个乡镇中的54个行政村。</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2020</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164.8</w:t>
            </w:r>
            <w:r>
              <w:rPr>
                <w:rFonts w:ascii="Times New Roman" w:hAnsi="Times New Roman"/>
                <w:sz w:val="21"/>
                <w:szCs w:val="21"/>
              </w:rPr>
              <w:t>5</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抚远市供排水公司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52</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黑龙江省抚远市抚远镇供排水设施和管网改造项目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抚远镇</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工程共计对抚远市城区内99栋小区住宅楼室内、外给排水管线及供水二次加压泵站进行改造，改造面积41.78万平方米，共服务5267户居民。本工程改造给水管线42769米，户内给水管线改造4426户；智能水表出户改造4426块；改造排水管线38947米；改造二次供水加压泵房10座</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2019-2022</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5397.48</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抚远市供排水公司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53</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抚远市农村饮用水安全脱贫攻坚供水管网改造工程项目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对别拉洪乡民丰村、浓江乡浓江村、寒葱沟镇红旗村建设供水管网长度共21633</w:t>
            </w:r>
            <w:r>
              <w:rPr>
                <w:rFonts w:ascii="Times New Roman" w:hAnsi="Times New Roman"/>
                <w:sz w:val="21"/>
                <w:szCs w:val="21"/>
              </w:rPr>
              <w:t>米</w:t>
            </w:r>
            <w:r>
              <w:rPr>
                <w:rFonts w:hint="eastAsia" w:ascii="Times New Roman" w:hAnsi="Times New Roman"/>
                <w:sz w:val="21"/>
                <w:szCs w:val="21"/>
              </w:rPr>
              <w:t>，其中供水干线13674</w:t>
            </w:r>
            <w:r>
              <w:rPr>
                <w:rFonts w:ascii="Times New Roman" w:hAnsi="Times New Roman"/>
                <w:sz w:val="21"/>
                <w:szCs w:val="21"/>
              </w:rPr>
              <w:t>米</w:t>
            </w:r>
            <w:r>
              <w:rPr>
                <w:rFonts w:hint="eastAsia" w:ascii="Times New Roman" w:hAnsi="Times New Roman"/>
                <w:sz w:val="21"/>
                <w:szCs w:val="21"/>
              </w:rPr>
              <w:t>，管径为DE63-DE32</w:t>
            </w:r>
            <w:r>
              <w:rPr>
                <w:rFonts w:ascii="Times New Roman" w:hAnsi="Times New Roman"/>
                <w:sz w:val="21"/>
                <w:szCs w:val="21"/>
              </w:rPr>
              <w:t>mm</w:t>
            </w:r>
            <w:r>
              <w:rPr>
                <w:rFonts w:hint="eastAsia" w:ascii="Times New Roman" w:hAnsi="Times New Roman"/>
                <w:sz w:val="21"/>
                <w:szCs w:val="21"/>
              </w:rPr>
              <w:t>；入户管线7959</w:t>
            </w:r>
            <w:r>
              <w:rPr>
                <w:rFonts w:ascii="Times New Roman" w:hAnsi="Times New Roman"/>
                <w:sz w:val="21"/>
                <w:szCs w:val="21"/>
              </w:rPr>
              <w:t>米</w:t>
            </w:r>
            <w:r>
              <w:rPr>
                <w:rFonts w:hint="eastAsia" w:ascii="Times New Roman" w:hAnsi="Times New Roman"/>
                <w:sz w:val="21"/>
                <w:szCs w:val="21"/>
              </w:rPr>
              <w:t>，管径DE25</w:t>
            </w:r>
            <w:r>
              <w:rPr>
                <w:rFonts w:ascii="Times New Roman" w:hAnsi="Times New Roman"/>
                <w:sz w:val="21"/>
                <w:szCs w:val="21"/>
              </w:rPr>
              <w:t>mm</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2019-2019</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458.637325</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抚远市供排水公司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54</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黑龙江省抚远市正阳路与迎宾路给水管网改造扩建项目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迎宾路给水管网改造和扩建；新建中区给水管道总长3140</w:t>
            </w:r>
            <w:r>
              <w:rPr>
                <w:rFonts w:ascii="Times New Roman" w:hAnsi="Times New Roman"/>
                <w:sz w:val="21"/>
                <w:szCs w:val="21"/>
              </w:rPr>
              <w:t>米</w:t>
            </w:r>
            <w:r>
              <w:rPr>
                <w:rFonts w:hint="eastAsia" w:ascii="Times New Roman" w:hAnsi="Times New Roman"/>
                <w:sz w:val="21"/>
                <w:szCs w:val="21"/>
              </w:rPr>
              <w:t>，管径DN500，改造中区给水管道总长810</w:t>
            </w:r>
            <w:r>
              <w:rPr>
                <w:rFonts w:ascii="Times New Roman" w:hAnsi="Times New Roman"/>
                <w:sz w:val="21"/>
                <w:szCs w:val="21"/>
              </w:rPr>
              <w:t>米</w:t>
            </w:r>
            <w:r>
              <w:rPr>
                <w:rFonts w:hint="eastAsia" w:ascii="Times New Roman" w:hAnsi="Times New Roman"/>
                <w:sz w:val="21"/>
                <w:szCs w:val="21"/>
              </w:rPr>
              <w:t>，管径DN200-300。新建正阳路给水管道总长1650</w:t>
            </w:r>
            <w:r>
              <w:rPr>
                <w:rFonts w:ascii="Times New Roman" w:hAnsi="Times New Roman"/>
                <w:sz w:val="21"/>
                <w:szCs w:val="21"/>
              </w:rPr>
              <w:t>米</w:t>
            </w:r>
            <w:r>
              <w:rPr>
                <w:rFonts w:hint="eastAsia" w:ascii="Times New Roman" w:hAnsi="Times New Roman"/>
                <w:sz w:val="21"/>
                <w:szCs w:val="21"/>
              </w:rPr>
              <w:t>，管径DN300-DN500改造给水管道3470</w:t>
            </w:r>
            <w:r>
              <w:rPr>
                <w:rFonts w:ascii="Times New Roman" w:hAnsi="Times New Roman"/>
                <w:sz w:val="21"/>
                <w:szCs w:val="21"/>
              </w:rPr>
              <w:t>米</w:t>
            </w:r>
            <w:r>
              <w:rPr>
                <w:rFonts w:hint="eastAsia" w:ascii="Times New Roman" w:hAnsi="Times New Roman"/>
                <w:sz w:val="21"/>
                <w:szCs w:val="21"/>
              </w:rPr>
              <w:t>，管径DN200-DN400</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2021-202</w:t>
            </w:r>
            <w:r>
              <w:rPr>
                <w:rFonts w:ascii="Times New Roman" w:hAnsi="Times New Roman"/>
                <w:sz w:val="21"/>
                <w:szCs w:val="21"/>
              </w:rPr>
              <w:t>4</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4856.03</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抚远市供排水公司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55</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抚远市农村饮水安全脱贫攻坚水处理设施改造工程项目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对新江村、新海村、建国村、长征村、红星村、红丰村、永丰村、海兴村、永发村、海滨村、海林村、海源村、海旺村、鸭南村、东发村、利国村16个建制村的饮用水处理设施进行改造。主要包括水处理间改造、原有水处理设施改造及新建水处理设施三部分</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2019</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255.8</w:t>
            </w:r>
            <w:r>
              <w:rPr>
                <w:rFonts w:ascii="Times New Roman" w:hAnsi="Times New Roman"/>
                <w:sz w:val="21"/>
                <w:szCs w:val="21"/>
              </w:rPr>
              <w:t>9</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抚远市供排水公司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56</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抚远市农村饮水安全脱贫攻坚水处理设施改造二期工程项目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建兴村、新远村、建胜村、民富村、民丰村、利民村、利华村、新胜村、四排村、平原村、镇西村、永安村、永富村、别拉洪村、东岗村、海宏村、永胜村17个建制村供水设施改造工程</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2019</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277.5</w:t>
            </w:r>
            <w:r>
              <w:rPr>
                <w:rFonts w:ascii="Times New Roman" w:hAnsi="Times New Roman"/>
                <w:sz w:val="21"/>
                <w:szCs w:val="21"/>
              </w:rPr>
              <w:t>6</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抚远市供排水公司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57</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抚远市农村饮用水安全脱贫攻坚供水管网改造三期工程项目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抚远市乌苏镇朝阳村新建供水管线管径为De90- De25</w:t>
            </w:r>
            <w:r>
              <w:rPr>
                <w:rFonts w:ascii="Times New Roman" w:hAnsi="Times New Roman"/>
                <w:sz w:val="21"/>
                <w:szCs w:val="21"/>
              </w:rPr>
              <w:t>mm</w:t>
            </w:r>
            <w:r>
              <w:rPr>
                <w:rFonts w:hint="eastAsia" w:ascii="Times New Roman" w:hAnsi="Times New Roman"/>
                <w:sz w:val="21"/>
                <w:szCs w:val="21"/>
              </w:rPr>
              <w:t>，管线总长度为5357</w:t>
            </w:r>
            <w:r>
              <w:rPr>
                <w:rFonts w:ascii="Times New Roman" w:hAnsi="Times New Roman"/>
                <w:sz w:val="21"/>
                <w:szCs w:val="21"/>
              </w:rPr>
              <w:t>米</w:t>
            </w:r>
            <w:r>
              <w:rPr>
                <w:rFonts w:hint="eastAsia" w:ascii="Times New Roman" w:hAnsi="Times New Roman"/>
                <w:sz w:val="21"/>
                <w:szCs w:val="21"/>
              </w:rPr>
              <w:t>。浓桥镇建设村改造供水管径为De63</w:t>
            </w:r>
            <w:r>
              <w:rPr>
                <w:rFonts w:ascii="Times New Roman" w:hAnsi="Times New Roman"/>
                <w:sz w:val="21"/>
                <w:szCs w:val="21"/>
              </w:rPr>
              <w:t>mm</w:t>
            </w:r>
            <w:r>
              <w:rPr>
                <w:rFonts w:hint="eastAsia" w:ascii="Times New Roman" w:hAnsi="Times New Roman"/>
                <w:sz w:val="21"/>
                <w:szCs w:val="21"/>
              </w:rPr>
              <w:t>，管线总长度为500</w:t>
            </w:r>
            <w:r>
              <w:rPr>
                <w:rFonts w:ascii="Times New Roman" w:hAnsi="Times New Roman"/>
                <w:sz w:val="21"/>
                <w:szCs w:val="21"/>
              </w:rPr>
              <w:t>米</w:t>
            </w:r>
            <w:r>
              <w:rPr>
                <w:rFonts w:hint="eastAsia" w:ascii="Times New Roman" w:hAnsi="Times New Roman"/>
                <w:sz w:val="21"/>
                <w:szCs w:val="21"/>
              </w:rPr>
              <w:t>。抚远镇河西村（亮子幸福社区）改造供水管径为De75</w:t>
            </w:r>
            <w:r>
              <w:rPr>
                <w:rFonts w:ascii="Times New Roman" w:hAnsi="Times New Roman"/>
                <w:sz w:val="21"/>
                <w:szCs w:val="21"/>
              </w:rPr>
              <w:t>mm</w:t>
            </w:r>
            <w:r>
              <w:rPr>
                <w:rFonts w:hint="eastAsia" w:ascii="Times New Roman" w:hAnsi="Times New Roman"/>
                <w:sz w:val="21"/>
                <w:szCs w:val="21"/>
              </w:rPr>
              <w:t>，管线总长度为80</w:t>
            </w:r>
            <w:r>
              <w:rPr>
                <w:rFonts w:ascii="Times New Roman" w:hAnsi="Times New Roman"/>
                <w:sz w:val="21"/>
                <w:szCs w:val="21"/>
              </w:rPr>
              <w:t>米</w:t>
            </w:r>
            <w:r>
              <w:rPr>
                <w:rFonts w:hint="eastAsia" w:ascii="Times New Roman" w:hAnsi="Times New Roman"/>
                <w:sz w:val="21"/>
                <w:szCs w:val="21"/>
              </w:rPr>
              <w:t>。海青乡海滨村改造供水管径为De25</w:t>
            </w:r>
            <w:r>
              <w:rPr>
                <w:rFonts w:ascii="Times New Roman" w:hAnsi="Times New Roman"/>
                <w:sz w:val="21"/>
                <w:szCs w:val="21"/>
              </w:rPr>
              <w:t>mm</w:t>
            </w:r>
            <w:r>
              <w:rPr>
                <w:rFonts w:hint="eastAsia" w:ascii="Times New Roman" w:hAnsi="Times New Roman"/>
                <w:sz w:val="21"/>
                <w:szCs w:val="21"/>
              </w:rPr>
              <w:t>，管线总长度为140</w:t>
            </w:r>
            <w:r>
              <w:rPr>
                <w:rFonts w:ascii="Times New Roman" w:hAnsi="Times New Roman"/>
                <w:sz w:val="21"/>
                <w:szCs w:val="21"/>
              </w:rPr>
              <w:t>米</w:t>
            </w:r>
            <w:r>
              <w:rPr>
                <w:rFonts w:hint="eastAsia" w:ascii="Times New Roman" w:hAnsi="Times New Roman"/>
                <w:sz w:val="21"/>
                <w:szCs w:val="21"/>
              </w:rPr>
              <w:t>。 本工程共建设供水管线总长度为6077</w:t>
            </w:r>
            <w:r>
              <w:rPr>
                <w:rFonts w:ascii="Times New Roman" w:hAnsi="Times New Roman"/>
                <w:sz w:val="21"/>
                <w:szCs w:val="21"/>
              </w:rPr>
              <w:t>米</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2019</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156.14</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抚远市供排水公司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4"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58</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抚远市农村饮用水安全脱贫攻坚供水管网改造二期工程项目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抚远市鸭南乡富兴村、浓桥镇新江村、寒葱沟镇红丰村、浓桥镇建胜村供水工程，包含4个建制村供水主、干管及入户管线。 鸭南乡富兴村供水管线服务面积为0.19k</w:t>
            </w:r>
            <w:r>
              <w:rPr>
                <w:rFonts w:ascii="Times New Roman" w:hAnsi="Times New Roman"/>
                <w:sz w:val="21"/>
                <w:szCs w:val="21"/>
              </w:rPr>
              <w:t>平方米</w:t>
            </w:r>
            <w:r>
              <w:rPr>
                <w:rFonts w:hint="eastAsia" w:ascii="Times New Roman" w:hAnsi="Times New Roman"/>
                <w:sz w:val="21"/>
                <w:szCs w:val="21"/>
              </w:rPr>
              <w:t>，干管管径为De90-De40</w:t>
            </w:r>
            <w:r>
              <w:rPr>
                <w:rFonts w:ascii="Times New Roman" w:hAnsi="Times New Roman"/>
                <w:sz w:val="21"/>
                <w:szCs w:val="21"/>
              </w:rPr>
              <w:t>mm</w:t>
            </w:r>
            <w:r>
              <w:rPr>
                <w:rFonts w:hint="eastAsia" w:ascii="Times New Roman" w:hAnsi="Times New Roman"/>
                <w:sz w:val="21"/>
                <w:szCs w:val="21"/>
              </w:rPr>
              <w:t>，管线总长度为2397</w:t>
            </w:r>
            <w:r>
              <w:rPr>
                <w:rFonts w:ascii="Times New Roman" w:hAnsi="Times New Roman"/>
                <w:sz w:val="21"/>
                <w:szCs w:val="21"/>
              </w:rPr>
              <w:t>米</w:t>
            </w:r>
            <w:r>
              <w:rPr>
                <w:rFonts w:hint="eastAsia" w:ascii="Times New Roman" w:hAnsi="Times New Roman"/>
                <w:sz w:val="21"/>
                <w:szCs w:val="21"/>
              </w:rPr>
              <w:t>；其中入户管管径为De25，总长度为1925</w:t>
            </w:r>
            <w:r>
              <w:rPr>
                <w:rFonts w:ascii="Times New Roman" w:hAnsi="Times New Roman"/>
                <w:sz w:val="21"/>
                <w:szCs w:val="21"/>
              </w:rPr>
              <w:t>米</w:t>
            </w:r>
            <w:r>
              <w:rPr>
                <w:rFonts w:hint="eastAsia" w:ascii="Times New Roman" w:hAnsi="Times New Roman"/>
                <w:sz w:val="21"/>
                <w:szCs w:val="21"/>
              </w:rPr>
              <w:t>。 浓桥镇新江村供水管线服务面积为0.10k</w:t>
            </w:r>
            <w:r>
              <w:rPr>
                <w:rFonts w:ascii="Times New Roman" w:hAnsi="Times New Roman"/>
                <w:sz w:val="21"/>
                <w:szCs w:val="21"/>
              </w:rPr>
              <w:t>平方米</w:t>
            </w:r>
            <w:r>
              <w:rPr>
                <w:rFonts w:hint="eastAsia" w:ascii="Times New Roman" w:hAnsi="Times New Roman"/>
                <w:sz w:val="21"/>
                <w:szCs w:val="21"/>
              </w:rPr>
              <w:t>，干管管径为De90-De40</w:t>
            </w:r>
            <w:r>
              <w:rPr>
                <w:rFonts w:ascii="Times New Roman" w:hAnsi="Times New Roman"/>
                <w:sz w:val="21"/>
                <w:szCs w:val="21"/>
              </w:rPr>
              <w:t>mm</w:t>
            </w:r>
            <w:r>
              <w:rPr>
                <w:rFonts w:hint="eastAsia" w:ascii="Times New Roman" w:hAnsi="Times New Roman"/>
                <w:sz w:val="21"/>
                <w:szCs w:val="21"/>
              </w:rPr>
              <w:t>，管线总长度为1751</w:t>
            </w:r>
            <w:r>
              <w:rPr>
                <w:rFonts w:ascii="Times New Roman" w:hAnsi="Times New Roman"/>
                <w:sz w:val="21"/>
                <w:szCs w:val="21"/>
              </w:rPr>
              <w:t>米</w:t>
            </w:r>
            <w:r>
              <w:rPr>
                <w:rFonts w:hint="eastAsia" w:ascii="Times New Roman" w:hAnsi="Times New Roman"/>
                <w:sz w:val="21"/>
                <w:szCs w:val="21"/>
              </w:rPr>
              <w:t>；其中入户管管径为De25，总长度为1036.3</w:t>
            </w:r>
            <w:r>
              <w:rPr>
                <w:rFonts w:ascii="Times New Roman" w:hAnsi="Times New Roman"/>
                <w:sz w:val="21"/>
                <w:szCs w:val="21"/>
              </w:rPr>
              <w:t>米</w:t>
            </w:r>
            <w:r>
              <w:rPr>
                <w:rFonts w:hint="eastAsia" w:ascii="Times New Roman" w:hAnsi="Times New Roman"/>
                <w:sz w:val="21"/>
                <w:szCs w:val="21"/>
              </w:rPr>
              <w:t>。 寒葱沟镇红丰村供水管线服务面积为0.22k</w:t>
            </w:r>
            <w:r>
              <w:rPr>
                <w:rFonts w:ascii="Times New Roman" w:hAnsi="Times New Roman"/>
                <w:sz w:val="21"/>
                <w:szCs w:val="21"/>
              </w:rPr>
              <w:t>平方米</w:t>
            </w:r>
            <w:r>
              <w:rPr>
                <w:rFonts w:hint="eastAsia" w:ascii="Times New Roman" w:hAnsi="Times New Roman"/>
                <w:sz w:val="21"/>
                <w:szCs w:val="21"/>
              </w:rPr>
              <w:t>，干管管径为De90-De50</w:t>
            </w:r>
            <w:r>
              <w:rPr>
                <w:rFonts w:ascii="Times New Roman" w:hAnsi="Times New Roman"/>
                <w:sz w:val="21"/>
                <w:szCs w:val="21"/>
              </w:rPr>
              <w:t>mm</w:t>
            </w:r>
            <w:r>
              <w:rPr>
                <w:rFonts w:hint="eastAsia" w:ascii="Times New Roman" w:hAnsi="Times New Roman"/>
                <w:sz w:val="21"/>
                <w:szCs w:val="21"/>
              </w:rPr>
              <w:t>，管线总长度为2990</w:t>
            </w:r>
            <w:r>
              <w:rPr>
                <w:rFonts w:ascii="Times New Roman" w:hAnsi="Times New Roman"/>
                <w:sz w:val="21"/>
                <w:szCs w:val="21"/>
              </w:rPr>
              <w:t>米</w:t>
            </w:r>
            <w:r>
              <w:rPr>
                <w:rFonts w:hint="eastAsia" w:ascii="Times New Roman" w:hAnsi="Times New Roman"/>
                <w:sz w:val="21"/>
                <w:szCs w:val="21"/>
              </w:rPr>
              <w:t>；入户管管径为De25，总长度为1455</w:t>
            </w:r>
            <w:r>
              <w:rPr>
                <w:rFonts w:ascii="Times New Roman" w:hAnsi="Times New Roman"/>
                <w:sz w:val="21"/>
                <w:szCs w:val="21"/>
              </w:rPr>
              <w:t>米</w:t>
            </w:r>
            <w:r>
              <w:rPr>
                <w:rFonts w:hint="eastAsia" w:ascii="Times New Roman" w:hAnsi="Times New Roman"/>
                <w:sz w:val="21"/>
                <w:szCs w:val="21"/>
              </w:rPr>
              <w:t>。 浓桥镇建胜村供水管线服务面积为0.16k</w:t>
            </w:r>
            <w:r>
              <w:rPr>
                <w:rFonts w:ascii="Times New Roman" w:hAnsi="Times New Roman"/>
                <w:sz w:val="21"/>
                <w:szCs w:val="21"/>
              </w:rPr>
              <w:t>平方米</w:t>
            </w:r>
            <w:r>
              <w:rPr>
                <w:rFonts w:hint="eastAsia" w:ascii="Times New Roman" w:hAnsi="Times New Roman"/>
                <w:sz w:val="21"/>
                <w:szCs w:val="21"/>
              </w:rPr>
              <w:t>，干管管径为De40-De63</w:t>
            </w:r>
            <w:r>
              <w:rPr>
                <w:rFonts w:ascii="Times New Roman" w:hAnsi="Times New Roman"/>
                <w:sz w:val="21"/>
                <w:szCs w:val="21"/>
              </w:rPr>
              <w:t>mm</w:t>
            </w:r>
            <w:r>
              <w:rPr>
                <w:rFonts w:hint="eastAsia" w:ascii="Times New Roman" w:hAnsi="Times New Roman"/>
                <w:sz w:val="21"/>
                <w:szCs w:val="21"/>
              </w:rPr>
              <w:t>，管线总长度为2309</w:t>
            </w:r>
            <w:r>
              <w:rPr>
                <w:rFonts w:ascii="Times New Roman" w:hAnsi="Times New Roman"/>
                <w:sz w:val="21"/>
                <w:szCs w:val="21"/>
              </w:rPr>
              <w:t>米</w:t>
            </w:r>
            <w:r>
              <w:rPr>
                <w:rFonts w:hint="eastAsia" w:ascii="Times New Roman" w:hAnsi="Times New Roman"/>
                <w:sz w:val="21"/>
                <w:szCs w:val="21"/>
              </w:rPr>
              <w:t>；入户管管径为De25，总长度为2265.9</w:t>
            </w:r>
            <w:r>
              <w:rPr>
                <w:rFonts w:ascii="Times New Roman" w:hAnsi="Times New Roman"/>
                <w:sz w:val="21"/>
                <w:szCs w:val="21"/>
              </w:rPr>
              <w:t>米</w:t>
            </w:r>
            <w:r>
              <w:rPr>
                <w:rFonts w:hint="eastAsia" w:ascii="Times New Roman" w:hAnsi="Times New Roman"/>
                <w:sz w:val="21"/>
                <w:szCs w:val="21"/>
              </w:rPr>
              <w:t>。 本工程共建设供水管线总长度为16129.2</w:t>
            </w:r>
            <w:r>
              <w:rPr>
                <w:rFonts w:ascii="Times New Roman" w:hAnsi="Times New Roman"/>
                <w:sz w:val="21"/>
                <w:szCs w:val="21"/>
              </w:rPr>
              <w:t>米</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2019</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381.</w:t>
            </w:r>
            <w:r>
              <w:rPr>
                <w:rFonts w:ascii="Times New Roman" w:hAnsi="Times New Roman"/>
                <w:sz w:val="21"/>
                <w:szCs w:val="21"/>
              </w:rPr>
              <w:t>70</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抚远市供排水公司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312" w:type="dxa"/>
            <w:gridSpan w:val="7"/>
            <w:noWrap/>
            <w:vAlign w:val="center"/>
          </w:tcPr>
          <w:p>
            <w:pPr>
              <w:spacing w:line="240" w:lineRule="auto"/>
              <w:ind w:firstLine="0" w:firstLineChars="0"/>
              <w:jc w:val="center"/>
              <w:rPr>
                <w:rFonts w:ascii="Times New Roman" w:hAnsi="Times New Roman"/>
                <w:sz w:val="21"/>
                <w:szCs w:val="21"/>
              </w:rPr>
            </w:pPr>
            <w:r>
              <w:rPr>
                <w:rFonts w:ascii="Times New Roman" w:hAnsi="Times New Roman"/>
                <w:b/>
                <w:bCs/>
                <w:szCs w:val="28"/>
              </w:rPr>
              <w:t>医院改造项目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59</w:t>
            </w:r>
          </w:p>
        </w:tc>
        <w:tc>
          <w:tcPr>
            <w:tcW w:w="2523" w:type="dxa"/>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抚远市人民医院传染病区项目</w:t>
            </w:r>
          </w:p>
        </w:tc>
        <w:tc>
          <w:tcPr>
            <w:tcW w:w="1588" w:type="dxa"/>
            <w:noWrap/>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w:t>
            </w:r>
          </w:p>
        </w:tc>
        <w:tc>
          <w:tcPr>
            <w:tcW w:w="4536" w:type="dxa"/>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建筑面积2000平方米，购置设备61台（套）</w:t>
            </w:r>
          </w:p>
        </w:tc>
        <w:tc>
          <w:tcPr>
            <w:tcW w:w="1559" w:type="dxa"/>
            <w:noWrap/>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2021</w:t>
            </w:r>
          </w:p>
        </w:tc>
        <w:tc>
          <w:tcPr>
            <w:tcW w:w="1673" w:type="dxa"/>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1400</w:t>
            </w:r>
          </w:p>
        </w:tc>
        <w:tc>
          <w:tcPr>
            <w:tcW w:w="1304" w:type="dxa"/>
            <w:noWrap/>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29" w:type="dxa"/>
            <w:noWrap/>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60</w:t>
            </w:r>
          </w:p>
        </w:tc>
        <w:tc>
          <w:tcPr>
            <w:tcW w:w="252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黑龙江省抚远市中医院通江乡分院建设项目</w:t>
            </w:r>
          </w:p>
        </w:tc>
        <w:tc>
          <w:tcPr>
            <w:tcW w:w="1588"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抚远市通江乡</w:t>
            </w:r>
          </w:p>
        </w:tc>
        <w:tc>
          <w:tcPr>
            <w:tcW w:w="4536"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2000平米房屋建设及附属设施室内装修，设备购置。</w:t>
            </w:r>
          </w:p>
        </w:tc>
        <w:tc>
          <w:tcPr>
            <w:tcW w:w="1559"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2021</w:t>
            </w:r>
          </w:p>
        </w:tc>
        <w:tc>
          <w:tcPr>
            <w:tcW w:w="1673"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1250</w:t>
            </w:r>
          </w:p>
        </w:tc>
        <w:tc>
          <w:tcPr>
            <w:tcW w:w="1304" w:type="dxa"/>
            <w:vAlign w:val="center"/>
          </w:tcPr>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抚远市卫生健康局</w:t>
            </w:r>
          </w:p>
        </w:tc>
      </w:tr>
    </w:tbl>
    <w:p>
      <w:pPr>
        <w:ind w:firstLine="0" w:firstLineChars="0"/>
        <w:jc w:val="center"/>
        <w:rPr>
          <w:rFonts w:ascii="Times New Roman" w:hAnsi="Times New Roman" w:cs="Times New Roman"/>
          <w:kern w:val="0"/>
          <w:szCs w:val="28"/>
        </w:rPr>
      </w:pPr>
    </w:p>
    <w:bookmarkEnd w:id="771"/>
    <w:p>
      <w:pPr>
        <w:tabs>
          <w:tab w:val="left" w:pos="1753"/>
        </w:tabs>
        <w:ind w:firstLine="198" w:firstLineChars="71"/>
        <w:rPr>
          <w:rFonts w:ascii="Times New Roman" w:hAnsi="Times New Roman"/>
        </w:rPr>
        <w:sectPr>
          <w:pgSz w:w="16838" w:h="11906" w:orient="landscape"/>
          <w:pgMar w:top="1800" w:right="1440" w:bottom="1800" w:left="1440" w:header="851" w:footer="992" w:gutter="0"/>
          <w:cols w:space="425" w:num="1"/>
          <w:docGrid w:type="lines" w:linePitch="435" w:charSpace="0"/>
        </w:sectPr>
      </w:pPr>
    </w:p>
    <w:p>
      <w:pPr>
        <w:pStyle w:val="22"/>
      </w:pPr>
      <w:bookmarkStart w:id="781" w:name="_Toc23565"/>
      <w:bookmarkStart w:id="782" w:name="_Toc77349670"/>
      <w:bookmarkStart w:id="783" w:name="_Toc721395347_WPSOffice_Level1"/>
      <w:bookmarkStart w:id="784" w:name="_Toc1060054367_WPSOffice_Level1"/>
      <w:bookmarkStart w:id="785" w:name="_Toc77601288"/>
      <w:bookmarkStart w:id="786" w:name="_Toc77601470"/>
      <w:bookmarkStart w:id="787" w:name="_Toc77600931"/>
      <w:bookmarkStart w:id="788" w:name="_Toc72163778"/>
      <w:bookmarkStart w:id="789" w:name="_Toc74642493"/>
      <w:bookmarkStart w:id="790" w:name="_Toc73003429"/>
      <w:r>
        <w:t>第五章</w:t>
      </w:r>
      <w:r>
        <w:rPr>
          <w:rFonts w:hint="eastAsia"/>
        </w:rPr>
        <w:t xml:space="preserve">  </w:t>
      </w:r>
      <w:r>
        <w:t>保障措施</w:t>
      </w:r>
      <w:bookmarkEnd w:id="781"/>
      <w:bookmarkEnd w:id="782"/>
      <w:bookmarkEnd w:id="783"/>
      <w:bookmarkEnd w:id="784"/>
      <w:bookmarkEnd w:id="785"/>
      <w:bookmarkEnd w:id="786"/>
      <w:bookmarkEnd w:id="787"/>
    </w:p>
    <w:bookmarkEnd w:id="788"/>
    <w:bookmarkEnd w:id="789"/>
    <w:bookmarkEnd w:id="790"/>
    <w:p>
      <w:pPr>
        <w:pStyle w:val="4"/>
      </w:pPr>
      <w:bookmarkStart w:id="791" w:name="_Toc22605"/>
      <w:bookmarkStart w:id="792" w:name="_Toc77349671"/>
      <w:bookmarkStart w:id="793" w:name="_Toc77601289"/>
      <w:bookmarkStart w:id="794" w:name="_Toc77601471"/>
      <w:bookmarkStart w:id="795" w:name="_Toc1750711295_WPSOffice_Level2"/>
      <w:bookmarkStart w:id="796" w:name="_Toc77600932"/>
      <w:bookmarkStart w:id="797" w:name="_Toc1074688764_WPSOffice_Level2"/>
      <w:bookmarkStart w:id="798" w:name="_Toc74642494"/>
      <w:r>
        <w:t>一、</w:t>
      </w:r>
      <w:r>
        <w:rPr>
          <w:rFonts w:hint="eastAsia"/>
        </w:rPr>
        <w:t>制度</w:t>
      </w:r>
      <w:r>
        <w:t>保障</w:t>
      </w:r>
      <w:bookmarkEnd w:id="791"/>
      <w:bookmarkEnd w:id="792"/>
      <w:bookmarkEnd w:id="793"/>
      <w:bookmarkEnd w:id="794"/>
      <w:bookmarkEnd w:id="795"/>
      <w:bookmarkEnd w:id="796"/>
      <w:bookmarkEnd w:id="797"/>
    </w:p>
    <w:bookmarkEnd w:id="798"/>
    <w:p>
      <w:pPr>
        <w:pStyle w:val="5"/>
      </w:pPr>
      <w:bookmarkStart w:id="799" w:name="_Toc1072744986_WPSOffice_Level3"/>
      <w:bookmarkStart w:id="800" w:name="_Toc25657"/>
      <w:bookmarkStart w:id="801" w:name="_Toc76366998"/>
      <w:bookmarkStart w:id="802" w:name="_Toc76368819"/>
      <w:bookmarkStart w:id="803" w:name="_Toc1392852200_WPSOffice_Level3"/>
      <w:bookmarkStart w:id="804" w:name="_Toc77601290"/>
      <w:bookmarkStart w:id="805" w:name="_Toc77601472"/>
      <w:r>
        <w:t>（一）完善生态文明建设民主监督机制</w:t>
      </w:r>
      <w:bookmarkEnd w:id="799"/>
      <w:bookmarkEnd w:id="800"/>
      <w:bookmarkEnd w:id="801"/>
      <w:bookmarkEnd w:id="802"/>
      <w:bookmarkEnd w:id="803"/>
      <w:bookmarkEnd w:id="804"/>
      <w:bookmarkEnd w:id="805"/>
    </w:p>
    <w:p>
      <w:pPr>
        <w:widowControl/>
        <w:ind w:firstLine="560"/>
        <w:jc w:val="left"/>
        <w:rPr>
          <w:rFonts w:ascii="Times New Roman" w:hAnsi="Times New Roman"/>
          <w:color w:val="000000"/>
          <w:kern w:val="0"/>
          <w:szCs w:val="28"/>
          <w:lang w:bidi="ar"/>
        </w:rPr>
      </w:pPr>
      <w:r>
        <w:rPr>
          <w:rFonts w:hint="eastAsia" w:ascii="Times New Roman" w:hAnsi="Times New Roman"/>
          <w:color w:val="000000"/>
          <w:kern w:val="0"/>
          <w:szCs w:val="28"/>
          <w:lang w:bidi="ar"/>
        </w:rPr>
        <w:t xml:space="preserve">建立健全国土空间开发保护制度，实行最严格的耕地保护制度、水资源管理制度、环境保护制度。按照生态文明建设的要求全面清理和修订规范性文件，建立有利于抚远市推进生态文明建设的制度体系。 </w:t>
      </w:r>
    </w:p>
    <w:p>
      <w:pPr>
        <w:pStyle w:val="5"/>
      </w:pPr>
      <w:bookmarkStart w:id="806" w:name="_Toc74642495"/>
      <w:bookmarkStart w:id="807" w:name="_Toc77601473"/>
      <w:bookmarkStart w:id="808" w:name="_Toc77601291"/>
      <w:r>
        <w:t>（</w:t>
      </w:r>
      <w:r>
        <w:rPr>
          <w:rFonts w:hint="eastAsia"/>
        </w:rPr>
        <w:t>二</w:t>
      </w:r>
      <w:r>
        <w:t>）</w:t>
      </w:r>
      <w:r>
        <w:rPr>
          <w:rFonts w:hint="eastAsia"/>
        </w:rPr>
        <w:t>加大政策引导和扶持力度</w:t>
      </w:r>
      <w:bookmarkEnd w:id="806"/>
      <w:bookmarkEnd w:id="807"/>
      <w:bookmarkEnd w:id="808"/>
      <w:r>
        <w:rPr>
          <w:rFonts w:hint="eastAsia"/>
        </w:rPr>
        <w:t xml:space="preserve"> </w:t>
      </w:r>
    </w:p>
    <w:p>
      <w:pPr>
        <w:widowControl/>
        <w:ind w:firstLine="560"/>
        <w:jc w:val="left"/>
        <w:rPr>
          <w:rFonts w:ascii="Times New Roman" w:hAnsi="Times New Roman"/>
          <w:color w:val="000000"/>
          <w:kern w:val="0"/>
          <w:szCs w:val="28"/>
          <w:lang w:bidi="ar"/>
        </w:rPr>
      </w:pPr>
      <w:r>
        <w:rPr>
          <w:rFonts w:hint="eastAsia" w:ascii="Times New Roman" w:hAnsi="Times New Roman"/>
          <w:color w:val="000000"/>
          <w:kern w:val="0"/>
          <w:szCs w:val="28"/>
          <w:lang w:bidi="ar"/>
        </w:rPr>
        <w:t xml:space="preserve">建立以保护生态环境为导向的经济政策。生态文明建设的重大工程和重点项目优先立项，优先保证用地，并在税收等方面给予优惠支持。继续实施鼓励退耕还林和生态脱贫的优惠政策，加快退耕还林和生态脱贫的工作进度。建立自然资源与环境有偿使用政策，对资源收益者征收资源开发补偿费和生态环境补偿费。 </w:t>
      </w:r>
    </w:p>
    <w:p>
      <w:pPr>
        <w:pStyle w:val="5"/>
      </w:pPr>
      <w:bookmarkStart w:id="809" w:name="_Toc74642496"/>
      <w:bookmarkStart w:id="810" w:name="_Toc77601292"/>
      <w:bookmarkStart w:id="811" w:name="_Toc77601474"/>
      <w:r>
        <w:t>（</w:t>
      </w:r>
      <w:r>
        <w:rPr>
          <w:rFonts w:hint="eastAsia"/>
        </w:rPr>
        <w:t>三</w:t>
      </w:r>
      <w:r>
        <w:t>）</w:t>
      </w:r>
      <w:r>
        <w:rPr>
          <w:rFonts w:hint="eastAsia"/>
        </w:rPr>
        <w:t>创新生态环境保护机制</w:t>
      </w:r>
      <w:bookmarkEnd w:id="809"/>
      <w:bookmarkEnd w:id="810"/>
      <w:bookmarkEnd w:id="811"/>
      <w:r>
        <w:rPr>
          <w:rFonts w:hint="eastAsia"/>
        </w:rPr>
        <w:t xml:space="preserve"> </w:t>
      </w:r>
    </w:p>
    <w:p>
      <w:pPr>
        <w:widowControl/>
        <w:ind w:firstLine="560"/>
        <w:jc w:val="left"/>
        <w:rPr>
          <w:rFonts w:ascii="Times New Roman" w:hAnsi="Times New Roman"/>
          <w:color w:val="000000"/>
          <w:kern w:val="0"/>
          <w:szCs w:val="28"/>
          <w:lang w:bidi="ar"/>
        </w:rPr>
      </w:pPr>
      <w:r>
        <w:rPr>
          <w:rFonts w:hint="eastAsia" w:ascii="Times New Roman" w:hAnsi="Times New Roman"/>
          <w:color w:val="000000"/>
          <w:kern w:val="0"/>
          <w:szCs w:val="28"/>
          <w:lang w:bidi="ar"/>
        </w:rPr>
        <w:t xml:space="preserve">推动环境治理和环评管理机制创新，积极探索建立更加符合生态文明建设要求的环境治理机制，把资源消耗、环境损害、生态效益纳入经济社会发展评价体系，建立体现生态文明要求的目标体系、考核办法、奖惩机制，全面提升环境管理水平。 </w:t>
      </w:r>
    </w:p>
    <w:p>
      <w:pPr>
        <w:pStyle w:val="5"/>
      </w:pPr>
      <w:bookmarkStart w:id="812" w:name="_Toc74642497"/>
      <w:bookmarkStart w:id="813" w:name="_Toc77601475"/>
      <w:bookmarkStart w:id="814" w:name="_Toc77601293"/>
      <w:r>
        <w:t>（</w:t>
      </w:r>
      <w:r>
        <w:rPr>
          <w:rFonts w:hint="eastAsia"/>
        </w:rPr>
        <w:t>四</w:t>
      </w:r>
      <w:r>
        <w:t>）</w:t>
      </w:r>
      <w:r>
        <w:rPr>
          <w:rFonts w:hint="eastAsia"/>
        </w:rPr>
        <w:t>加大环境执法力度</w:t>
      </w:r>
      <w:bookmarkEnd w:id="812"/>
      <w:bookmarkEnd w:id="813"/>
      <w:bookmarkEnd w:id="814"/>
      <w:r>
        <w:rPr>
          <w:rFonts w:hint="eastAsia"/>
        </w:rPr>
        <w:t xml:space="preserve"> </w:t>
      </w:r>
    </w:p>
    <w:p>
      <w:pPr>
        <w:widowControl/>
        <w:ind w:firstLine="560"/>
        <w:jc w:val="left"/>
        <w:rPr>
          <w:rFonts w:ascii="Times New Roman" w:hAnsi="Times New Roman"/>
          <w:sz w:val="30"/>
          <w:szCs w:val="30"/>
        </w:rPr>
      </w:pPr>
      <w:r>
        <w:rPr>
          <w:rFonts w:hint="eastAsia" w:ascii="Times New Roman" w:hAnsi="Times New Roman"/>
          <w:color w:val="000000"/>
          <w:kern w:val="0"/>
          <w:szCs w:val="28"/>
          <w:lang w:bidi="ar"/>
        </w:rPr>
        <w:t xml:space="preserve">建立高效的环境监督管理体制，强化执法检查和监督管理，依法严肃查处各种环境违法行为和生态破坏现象，对不符合国家产业政策和环境要求、污染严重的企业，该关闭的坚决予以关闭，并适时组织开展专项整治活动，解决突出的环境问题。加强环境执法队伍建设，提高监督管理能力。 </w:t>
      </w:r>
    </w:p>
    <w:p>
      <w:pPr>
        <w:pStyle w:val="4"/>
      </w:pPr>
      <w:bookmarkStart w:id="815" w:name="_Toc77601476"/>
      <w:bookmarkStart w:id="816" w:name="_Toc1531287518_WPSOffice_Level2"/>
      <w:bookmarkStart w:id="817" w:name="_Toc4697"/>
      <w:bookmarkStart w:id="818" w:name="_Toc1956585278_WPSOffice_Level2"/>
      <w:bookmarkStart w:id="819" w:name="_Toc77601294"/>
      <w:bookmarkStart w:id="820" w:name="_Toc77600933"/>
      <w:bookmarkStart w:id="821" w:name="_Toc77349672"/>
      <w:r>
        <w:t>二、组织保障</w:t>
      </w:r>
      <w:bookmarkEnd w:id="815"/>
      <w:bookmarkEnd w:id="816"/>
      <w:bookmarkEnd w:id="817"/>
      <w:bookmarkEnd w:id="818"/>
      <w:bookmarkEnd w:id="819"/>
      <w:bookmarkEnd w:id="820"/>
      <w:bookmarkEnd w:id="821"/>
    </w:p>
    <w:p>
      <w:pPr>
        <w:widowControl/>
        <w:ind w:firstLine="560"/>
        <w:jc w:val="left"/>
        <w:rPr>
          <w:rFonts w:ascii="Times New Roman" w:hAnsi="Times New Roman"/>
          <w:color w:val="000000"/>
          <w:kern w:val="0"/>
          <w:sz w:val="31"/>
          <w:szCs w:val="31"/>
          <w:lang w:bidi="ar"/>
        </w:rPr>
      </w:pPr>
      <w:r>
        <w:rPr>
          <w:rFonts w:hint="eastAsia" w:ascii="Times New Roman" w:hAnsi="Times New Roman"/>
          <w:color w:val="000000"/>
          <w:kern w:val="0"/>
          <w:szCs w:val="28"/>
          <w:lang w:bidi="ar"/>
        </w:rPr>
        <w:t>贯彻落实十九届三中全会精神，加快建立具有抚远市特色的生态文明制度体系，实行最严格的源头保护制度、损害赔偿制度、责任追究制度，完善环境治理和生态修复制度。抚远市创建国家生态文明建设示范市工作领导小组要发挥牵头抓总作用，加强统筹协调和监督指导，加强乡镇、村等各级党委政府对生态文明建设工作的领导。组建生态文明建设委员会，由抚远市委书记任主任、市长任常务副主任，环保、农林、发改、住建、城管和水利等部门为成员单位，统筹负责抚远市生态环境的统筹规划、环境治理、生态保护等生态文明建设与管理等工作，研究确定重大规划和重要项目，检查督促工作落实，协调解决困难问题。完善由市创建办公室牵头、各成员单位分工负责的工作体系，努力形成齐抓共管、密切协作的工作合力。各职能部门根据职责分工制定行动计划，明确工作举措，推进生态文明建设。委员会下设办公室，办公室设在市生态环境局，由生态环境局主要领导担任办公室主任，负责生态文明建设工作的具体协调和推进，制定考核细则，组织年度考核，严格执行目标考核，推动工作落实。</w:t>
      </w:r>
    </w:p>
    <w:p>
      <w:pPr>
        <w:pStyle w:val="4"/>
      </w:pPr>
      <w:bookmarkStart w:id="822" w:name="_Toc77601295"/>
      <w:bookmarkStart w:id="823" w:name="_Toc77601477"/>
      <w:bookmarkStart w:id="824" w:name="_Toc2059164482_WPSOffice_Level2"/>
      <w:bookmarkStart w:id="825" w:name="_Toc6543"/>
      <w:bookmarkStart w:id="826" w:name="_Toc905289378_WPSOffice_Level2"/>
      <w:bookmarkStart w:id="827" w:name="_Toc77349673"/>
      <w:bookmarkStart w:id="828" w:name="_Toc77600934"/>
      <w:r>
        <w:t>三、完善资金保障</w:t>
      </w:r>
      <w:bookmarkEnd w:id="822"/>
      <w:bookmarkEnd w:id="823"/>
      <w:bookmarkEnd w:id="824"/>
      <w:bookmarkEnd w:id="825"/>
      <w:bookmarkEnd w:id="826"/>
      <w:bookmarkEnd w:id="827"/>
      <w:bookmarkEnd w:id="828"/>
    </w:p>
    <w:p>
      <w:pPr>
        <w:widowControl/>
        <w:ind w:firstLine="560"/>
        <w:jc w:val="left"/>
        <w:rPr>
          <w:rFonts w:ascii="Times New Roman" w:hAnsi="Times New Roman"/>
          <w:color w:val="000000"/>
          <w:kern w:val="0"/>
          <w:szCs w:val="28"/>
          <w:lang w:bidi="ar"/>
        </w:rPr>
      </w:pPr>
      <w:r>
        <w:rPr>
          <w:rFonts w:hint="eastAsia" w:ascii="Times New Roman" w:hAnsi="Times New Roman"/>
          <w:color w:val="000000"/>
          <w:kern w:val="0"/>
          <w:szCs w:val="28"/>
          <w:lang w:bidi="ar"/>
        </w:rPr>
        <w:t xml:space="preserve">做好公共财政资金保障，建立健全公共财政体制和公共服务有效保障机制，多渠道筹措生态文明建设资金，调整和优化公共财政支出结构，适当向生态文明建设项目倾斜。加大财政资金投入力度，按照建立公共财政的要求，把生态文明建设资金纳入本级年度财政预算，保证逐年有所增长。对于生态保护和建设、重要生态功能区、自然保护区和生物多样性保护与建设、生态环境监督能力建设等社会公益型项目，要以政府投资为主体，实施多元化投资。重大的生态文明建设项目应优先纳入国民经济社会发展计划，拓宽财政支持来源。 </w:t>
      </w:r>
    </w:p>
    <w:p>
      <w:pPr>
        <w:widowControl/>
        <w:ind w:firstLine="560"/>
        <w:jc w:val="left"/>
        <w:rPr>
          <w:rFonts w:ascii="Times New Roman" w:hAnsi="Times New Roman"/>
          <w:sz w:val="24"/>
          <w:szCs w:val="24"/>
        </w:rPr>
      </w:pPr>
      <w:r>
        <w:rPr>
          <w:rFonts w:hint="eastAsia" w:ascii="Times New Roman" w:hAnsi="Times New Roman"/>
          <w:color w:val="000000"/>
          <w:kern w:val="0"/>
          <w:szCs w:val="28"/>
          <w:lang w:bidi="ar"/>
        </w:rPr>
        <w:t>建立“政府引导、社会参与、市场运作”的多元化投融资体系，制定和完善各种经济优惠政策，积极引导社会资本参与生态文明建设。有效加强建设资金监管，建立资金专款专用监管制度，严格落实专款专用、先审后拨和项目公开招投标制度。对资金的使用全过程加强监督，严格执行投资问效、追踪管理，提高资金的使用绩效。对资金使用中出现的违规违纪行为实行责任追究。</w:t>
      </w:r>
    </w:p>
    <w:p>
      <w:pPr>
        <w:pStyle w:val="4"/>
      </w:pPr>
      <w:bookmarkStart w:id="829" w:name="_Toc15159"/>
      <w:bookmarkStart w:id="830" w:name="_Toc1678477569_WPSOffice_Level2"/>
      <w:bookmarkStart w:id="831" w:name="_Toc276937051_WPSOffice_Level2"/>
      <w:bookmarkStart w:id="832" w:name="_Toc77600935"/>
      <w:bookmarkStart w:id="833" w:name="_Toc77601478"/>
      <w:bookmarkStart w:id="834" w:name="_Toc77349674"/>
      <w:bookmarkStart w:id="835" w:name="_Toc77601296"/>
      <w:r>
        <w:t>四、科技支撑</w:t>
      </w:r>
      <w:bookmarkEnd w:id="829"/>
      <w:bookmarkEnd w:id="830"/>
      <w:bookmarkEnd w:id="831"/>
      <w:bookmarkEnd w:id="832"/>
      <w:bookmarkEnd w:id="833"/>
      <w:bookmarkEnd w:id="834"/>
      <w:bookmarkEnd w:id="835"/>
    </w:p>
    <w:p>
      <w:pPr>
        <w:widowControl/>
        <w:ind w:firstLine="560"/>
        <w:jc w:val="left"/>
        <w:rPr>
          <w:rFonts w:ascii="Times New Roman" w:hAnsi="Times New Roman"/>
          <w:color w:val="000000"/>
          <w:kern w:val="0"/>
          <w:szCs w:val="28"/>
          <w:lang w:bidi="ar"/>
        </w:rPr>
      </w:pPr>
      <w:r>
        <w:rPr>
          <w:rFonts w:hint="eastAsia" w:ascii="Times New Roman" w:hAnsi="Times New Roman"/>
          <w:color w:val="000000"/>
          <w:kern w:val="0"/>
          <w:szCs w:val="28"/>
          <w:lang w:bidi="ar"/>
        </w:rPr>
        <w:t xml:space="preserve">建立生态环境信息网络。加强生态环境资料数据的收集和分析，及时跟踪区域生态环境变化趋势，提出对策措施，定期发布生态文明建设指标体系评估报告。完善生态环境动态监测网络，开展环境现状普查，建设环境资源数据库，实现信息资源共享和监测资料综合集成，不断提高生态环境动态监测和跟踪水平。利用网络技术、3S技术、人工智能等技术，建立决策支持信息系统，为生态文明建设提供科学化信息决策支持。 </w:t>
      </w:r>
    </w:p>
    <w:p>
      <w:pPr>
        <w:widowControl/>
        <w:spacing w:line="600" w:lineRule="exact"/>
        <w:ind w:firstLine="560"/>
        <w:jc w:val="left"/>
        <w:rPr>
          <w:rFonts w:ascii="Times New Roman" w:hAnsi="Times New Roman"/>
          <w:sz w:val="24"/>
          <w:szCs w:val="24"/>
        </w:rPr>
      </w:pPr>
      <w:r>
        <w:rPr>
          <w:rFonts w:hint="eastAsia" w:ascii="Times New Roman" w:hAnsi="Times New Roman"/>
          <w:color w:val="000000"/>
          <w:kern w:val="0"/>
          <w:szCs w:val="28"/>
          <w:lang w:bidi="ar"/>
        </w:rPr>
        <w:t>推进环境科技创新。建立完善的激励机制，促进科技人员的技术创新。大力支持抚远市生态环境领域的科学研究、开发和研制，鼓励绿色食品、绿色工业产品、生物饲料、生物农药的开发生产，发展技术先导型、资源节约型、环境保护型的产业和产品，开展科技项目的示范，加速创新成果的生产力转化。继续深化各类科研机构的体制改革，建立起符合市场经济规律的生态环境科学基础研究、高新科技研究项目等工作。组织有关部门和专家，借鉴国内外经验，制订符合抚远市实际的生态产业标准，配合生态产业优惠政策，推动生态产业快速健康发展。加强生态农业环境标准体系建设，用技术标准来管理生态农业。</w:t>
      </w:r>
    </w:p>
    <w:p>
      <w:pPr>
        <w:pStyle w:val="4"/>
      </w:pPr>
      <w:bookmarkStart w:id="836" w:name="_Toc883953108_WPSOffice_Level2"/>
      <w:bookmarkStart w:id="837" w:name="_Toc77601479"/>
      <w:bookmarkStart w:id="838" w:name="_Toc77600936"/>
      <w:bookmarkStart w:id="839" w:name="_Toc77601297"/>
      <w:bookmarkStart w:id="840" w:name="_Toc827315191_WPSOffice_Level2"/>
      <w:bookmarkStart w:id="841" w:name="_Toc28628"/>
      <w:bookmarkStart w:id="842" w:name="_Toc77349675"/>
      <w:r>
        <w:t>五、公众参与</w:t>
      </w:r>
      <w:bookmarkEnd w:id="836"/>
      <w:bookmarkEnd w:id="837"/>
      <w:bookmarkEnd w:id="838"/>
      <w:bookmarkEnd w:id="839"/>
      <w:bookmarkEnd w:id="840"/>
      <w:bookmarkEnd w:id="841"/>
      <w:bookmarkEnd w:id="842"/>
    </w:p>
    <w:p>
      <w:pPr>
        <w:widowControl/>
        <w:spacing w:line="600" w:lineRule="exact"/>
        <w:ind w:firstLine="560"/>
        <w:jc w:val="left"/>
        <w:rPr>
          <w:rFonts w:ascii="Times New Roman" w:hAnsi="Times New Roman"/>
          <w:color w:val="000000"/>
          <w:kern w:val="0"/>
          <w:szCs w:val="28"/>
          <w:lang w:bidi="ar"/>
        </w:rPr>
      </w:pPr>
      <w:r>
        <w:rPr>
          <w:rFonts w:hint="eastAsia" w:ascii="Times New Roman" w:hAnsi="Times New Roman"/>
          <w:color w:val="000000"/>
          <w:kern w:val="0"/>
          <w:szCs w:val="28"/>
          <w:lang w:bidi="ar"/>
        </w:rPr>
        <w:t>精心规划建设生态文明建设的生态空间体系、生态经济体系、生态环境体系、生态生活体系、生态制度体系和生态文化体系。发挥重大工程项目的示范作用，系统推进生态文明建设。扎实推进生态文明建设示范乡镇、生态文明村、绿色村庄系列创建活动，巩固和提升卫生城市、文明城市创建成果。</w:t>
      </w:r>
    </w:p>
    <w:p>
      <w:pPr>
        <w:widowControl/>
        <w:ind w:firstLine="560"/>
        <w:jc w:val="left"/>
        <w:rPr>
          <w:rFonts w:ascii="Times New Roman" w:hAnsi="Times New Roman"/>
          <w:color w:val="000000"/>
          <w:kern w:val="0"/>
          <w:szCs w:val="28"/>
          <w:lang w:bidi="ar"/>
        </w:rPr>
      </w:pPr>
      <w:r>
        <w:rPr>
          <w:rFonts w:hint="eastAsia" w:ascii="Times New Roman" w:hAnsi="Times New Roman"/>
          <w:color w:val="000000"/>
          <w:kern w:val="0"/>
          <w:szCs w:val="28"/>
          <w:lang w:bidi="ar"/>
        </w:rPr>
        <w:t>加强规划实施宣传，充分利用广播、电视、报刊、网络和新媒体等，拓宽思想，创新载体，多渠道、多层次、多形式地开展生态文明建设的舆论宣传，使公众深入了解规划确定的方针政策和发展蓝图，在抚远市形成了解规划、关心规划、自觉参与规划实施的氛围，从而把开展生态文明建设切实转化为各级各部门和全社会的自觉行动，实现生态文明建设的良性互动和永续发展。</w:t>
      </w:r>
    </w:p>
    <w:p>
      <w:pPr>
        <w:widowControl/>
        <w:spacing w:line="240" w:lineRule="auto"/>
        <w:ind w:firstLine="0" w:firstLineChars="0"/>
        <w:jc w:val="left"/>
        <w:rPr>
          <w:rFonts w:ascii="Cambria" w:hAnsi="Cambria" w:cs="Times New Roman"/>
          <w:b/>
          <w:bCs/>
          <w:color w:val="000000" w:themeColor="text1"/>
          <w:sz w:val="44"/>
          <w:szCs w:val="32"/>
          <w14:textFill>
            <w14:solidFill>
              <w14:schemeClr w14:val="tx1"/>
            </w14:solidFill>
          </w14:textFill>
        </w:rPr>
      </w:pPr>
      <w:bookmarkStart w:id="843" w:name="_Toc77601480"/>
      <w:bookmarkStart w:id="844" w:name="_Toc77600937"/>
      <w:bookmarkStart w:id="845" w:name="_Toc77601298"/>
      <w:r>
        <w:br w:type="page"/>
      </w:r>
    </w:p>
    <w:p>
      <w:pPr>
        <w:pStyle w:val="22"/>
      </w:pPr>
      <w:r>
        <w:t>第</w:t>
      </w:r>
      <w:r>
        <w:rPr>
          <w:rFonts w:hint="eastAsia"/>
        </w:rPr>
        <w:t>六</w:t>
      </w:r>
      <w:r>
        <w:t xml:space="preserve">章  </w:t>
      </w:r>
      <w:r>
        <w:rPr>
          <w:rFonts w:hint="eastAsia"/>
        </w:rPr>
        <w:t>效益分析</w:t>
      </w:r>
      <w:bookmarkEnd w:id="843"/>
      <w:bookmarkEnd w:id="844"/>
      <w:bookmarkEnd w:id="845"/>
    </w:p>
    <w:p>
      <w:pPr>
        <w:autoSpaceDE w:val="0"/>
        <w:autoSpaceDN w:val="0"/>
        <w:ind w:left="113" w:right="102" w:firstLine="560"/>
        <w:rPr>
          <w:rFonts w:ascii="Times New Roman" w:hAnsi="Times New Roman" w:cs="Times New Roman"/>
          <w:kern w:val="0"/>
          <w:szCs w:val="28"/>
        </w:rPr>
      </w:pPr>
      <w:r>
        <w:rPr>
          <w:rFonts w:ascii="Times New Roman" w:hAnsi="Times New Roman" w:cs="Times New Roman"/>
          <w:kern w:val="0"/>
          <w:szCs w:val="28"/>
        </w:rPr>
        <w:t>本规划的实施将会使抚远市的生态状况得到持续有效的保护和改善，环境和发展得到有效的协调，环境污染得到有力削减和控制，景观生态格局安全、稳定，环境宜居、友好，城市生态功能更加健康，工业布局和结构日趋合理，资源节约型产业逐步形成，生态农业基地长足发展，生态旅游业渐成规模，土地、水等自然资源得到合理的开发和利用，生态文明建设成为主流，经济可持续发展，社会全面进步，达到生态文明示范市的考核要求。体现了生态效益、经济效益和</w:t>
      </w:r>
      <w:r>
        <w:rPr>
          <w:rFonts w:hint="eastAsia" w:ascii="Times New Roman" w:hAnsi="Times New Roman" w:cs="Times New Roman"/>
          <w:kern w:val="0"/>
          <w:szCs w:val="28"/>
        </w:rPr>
        <w:t>社会</w:t>
      </w:r>
      <w:r>
        <w:rPr>
          <w:rFonts w:ascii="Times New Roman" w:hAnsi="Times New Roman" w:cs="Times New Roman"/>
          <w:kern w:val="0"/>
          <w:szCs w:val="28"/>
        </w:rPr>
        <w:t>效益的高度统一。</w:t>
      </w:r>
    </w:p>
    <w:p>
      <w:pPr>
        <w:pStyle w:val="4"/>
        <w:rPr>
          <w:rFonts w:ascii="宋体" w:hAnsi="宋体"/>
        </w:rPr>
      </w:pPr>
      <w:bookmarkStart w:id="846" w:name="_Toc77601299"/>
      <w:bookmarkStart w:id="847" w:name="_Toc77601481"/>
      <w:bookmarkStart w:id="848" w:name="_Toc77600938"/>
      <w:r>
        <w:rPr>
          <w:rFonts w:ascii="宋体" w:hAnsi="宋体"/>
        </w:rPr>
        <w:t>一、</w:t>
      </w:r>
      <w:r>
        <w:rPr>
          <w:rFonts w:hint="eastAsia"/>
        </w:rPr>
        <w:t>生态环境效益</w:t>
      </w:r>
      <w:bookmarkEnd w:id="846"/>
      <w:bookmarkEnd w:id="847"/>
      <w:bookmarkEnd w:id="848"/>
    </w:p>
    <w:p>
      <w:pPr>
        <w:pStyle w:val="5"/>
      </w:pPr>
      <w:bookmarkStart w:id="849" w:name="_Toc77601300"/>
      <w:bookmarkStart w:id="850" w:name="_Toc77601482"/>
      <w:r>
        <w:t>（一）</w:t>
      </w:r>
      <w:r>
        <w:rPr>
          <w:rFonts w:hint="eastAsia"/>
        </w:rPr>
        <w:t>生态环境可持续改善</w:t>
      </w:r>
      <w:bookmarkEnd w:id="849"/>
      <w:bookmarkEnd w:id="850"/>
    </w:p>
    <w:p>
      <w:pPr>
        <w:autoSpaceDE w:val="0"/>
        <w:autoSpaceDN w:val="0"/>
        <w:ind w:left="113" w:right="102" w:firstLine="560"/>
        <w:rPr>
          <w:rFonts w:ascii="Times New Roman" w:hAnsi="Times New Roman" w:cs="Times New Roman"/>
          <w:kern w:val="0"/>
          <w:szCs w:val="28"/>
        </w:rPr>
      </w:pPr>
      <w:r>
        <w:rPr>
          <w:rFonts w:ascii="Times New Roman" w:hAnsi="Times New Roman" w:cs="Times New Roman"/>
          <w:kern w:val="0"/>
          <w:szCs w:val="28"/>
        </w:rPr>
        <w:t>通过划定生态保护红线，落实黑龙江省主体功能区规划和黑龙江省生态功能区划，优化抚远市空间布局和实施生态保护战略，生态功能不断提高，重要物种栖息地得到保护，水土流失面积不断减少，生态环境不断改善。合理的生态格局和健康的生态系统对于维护区域生态系统多样性和稳定性、保护生物多样性、调节局部地区气候、减轻自然灾害、维持生物多样性等方面都具有重要的生态效益。</w:t>
      </w:r>
    </w:p>
    <w:p>
      <w:pPr>
        <w:pStyle w:val="5"/>
      </w:pPr>
      <w:bookmarkStart w:id="851" w:name="_Toc77601483"/>
      <w:bookmarkStart w:id="852" w:name="_Toc77601301"/>
      <w:r>
        <w:t>（</w:t>
      </w:r>
      <w:r>
        <w:rPr>
          <w:rFonts w:hint="eastAsia"/>
        </w:rPr>
        <w:t>二</w:t>
      </w:r>
      <w:r>
        <w:t>）</w:t>
      </w:r>
      <w:r>
        <w:rPr>
          <w:rFonts w:hint="eastAsia"/>
        </w:rPr>
        <w:t>环境污染可得到控制</w:t>
      </w:r>
      <w:bookmarkEnd w:id="851"/>
      <w:bookmarkEnd w:id="852"/>
    </w:p>
    <w:p>
      <w:pPr>
        <w:autoSpaceDE w:val="0"/>
        <w:autoSpaceDN w:val="0"/>
        <w:ind w:left="113" w:right="102" w:firstLine="560"/>
        <w:rPr>
          <w:rFonts w:ascii="Times New Roman" w:hAnsi="Times New Roman" w:cs="Times New Roman"/>
          <w:kern w:val="0"/>
          <w:szCs w:val="28"/>
        </w:rPr>
      </w:pPr>
      <w:r>
        <w:rPr>
          <w:rFonts w:ascii="Times New Roman" w:hAnsi="Times New Roman" w:cs="Times New Roman"/>
          <w:kern w:val="0"/>
          <w:szCs w:val="28"/>
        </w:rPr>
        <w:t>通过选优并劣进行资源整合，实施规模化开发战略，淘汰落后工艺、技术、设备、产品，推广全过程控制、清洁生产、生态工业等模式，以及强化末端治理，加强污染治理基础设施建设，可使工业企业污染得到全面控制，有效降低污染物排放对环境的影响。积极探索北方高寒地区畜禽粪便综合利用模式，转变思想，变废为宝，生产有机肥料，有效解决了能源综合利用和作物施肥、土壤改良问题。规划期间将农业秸秆综合利用作为生物质开发重点，在秸秆综合利用技术上有所突破，加大秸秆能源化利用的比例，建立以秸秆为原料的加工企业，解决玉米、小麦、大豆秸秆综合利用问题，在秸秆综合利用重点领域作强做大。形成高效低耗减污的资源利用方式，提升经济运行效率和经济活力。到2021年秸秆的资源化利用率达到90%。</w:t>
      </w:r>
    </w:p>
    <w:p>
      <w:pPr>
        <w:pStyle w:val="5"/>
      </w:pPr>
      <w:bookmarkStart w:id="853" w:name="_Toc77601302"/>
      <w:bookmarkStart w:id="854" w:name="_Toc77601484"/>
      <w:r>
        <w:t>（</w:t>
      </w:r>
      <w:r>
        <w:rPr>
          <w:rFonts w:hint="eastAsia"/>
        </w:rPr>
        <w:t>三</w:t>
      </w:r>
      <w:r>
        <w:t>）</w:t>
      </w:r>
      <w:r>
        <w:rPr>
          <w:rFonts w:hint="eastAsia"/>
        </w:rPr>
        <w:t>环境质量可不断提高</w:t>
      </w:r>
      <w:bookmarkEnd w:id="853"/>
      <w:bookmarkEnd w:id="854"/>
    </w:p>
    <w:p>
      <w:pPr>
        <w:autoSpaceDE w:val="0"/>
        <w:autoSpaceDN w:val="0"/>
        <w:ind w:left="113" w:right="102" w:firstLine="560"/>
        <w:rPr>
          <w:rFonts w:ascii="Times New Roman" w:hAnsi="Times New Roman" w:cs="Times New Roman"/>
          <w:kern w:val="0"/>
          <w:szCs w:val="28"/>
        </w:rPr>
      </w:pPr>
      <w:r>
        <w:rPr>
          <w:rFonts w:ascii="Times New Roman" w:hAnsi="Times New Roman" w:cs="Times New Roman"/>
          <w:kern w:val="0"/>
          <w:szCs w:val="28"/>
        </w:rPr>
        <w:t>通过实施大气污染防治、污水处理、土壤修复、农村环境综合等工程，可有效削减大气、水体、土壤环境污染负荷，提高抚远市环境质量，改善城乡面貌，为城乡居民的休憩提供优美的场所，最大限度协调好人与自然的关系，提高人民生活质量。</w:t>
      </w:r>
    </w:p>
    <w:p>
      <w:pPr>
        <w:pStyle w:val="4"/>
        <w:rPr>
          <w:rFonts w:ascii="宋体" w:hAnsi="宋体"/>
        </w:rPr>
      </w:pPr>
      <w:bookmarkStart w:id="855" w:name="_Toc77600939"/>
      <w:bookmarkStart w:id="856" w:name="_Toc77601303"/>
      <w:bookmarkStart w:id="857" w:name="_Toc77601485"/>
      <w:r>
        <w:rPr>
          <w:rFonts w:hint="eastAsia" w:ascii="宋体" w:hAnsi="宋体"/>
        </w:rPr>
        <w:t>二</w:t>
      </w:r>
      <w:r>
        <w:rPr>
          <w:rFonts w:ascii="宋体" w:hAnsi="宋体"/>
        </w:rPr>
        <w:t>、</w:t>
      </w:r>
      <w:r>
        <w:rPr>
          <w:rFonts w:hint="eastAsia"/>
        </w:rPr>
        <w:t>经济效益</w:t>
      </w:r>
      <w:bookmarkEnd w:id="855"/>
      <w:bookmarkEnd w:id="856"/>
      <w:bookmarkEnd w:id="857"/>
    </w:p>
    <w:p>
      <w:pPr>
        <w:pStyle w:val="5"/>
      </w:pPr>
      <w:bookmarkStart w:id="858" w:name="_Toc77601304"/>
      <w:bookmarkStart w:id="859" w:name="_Toc77601486"/>
      <w:r>
        <w:t>（一）</w:t>
      </w:r>
      <w:r>
        <w:rPr>
          <w:rFonts w:hint="eastAsia"/>
        </w:rPr>
        <w:t>坚持绿色发展理念</w:t>
      </w:r>
      <w:bookmarkEnd w:id="858"/>
      <w:bookmarkEnd w:id="859"/>
    </w:p>
    <w:p>
      <w:pPr>
        <w:autoSpaceDE w:val="0"/>
        <w:autoSpaceDN w:val="0"/>
        <w:ind w:left="113" w:right="102" w:firstLine="560"/>
        <w:rPr>
          <w:rFonts w:ascii="Times New Roman" w:hAnsi="Times New Roman" w:cs="Times New Roman"/>
          <w:kern w:val="0"/>
          <w:szCs w:val="28"/>
        </w:rPr>
      </w:pPr>
      <w:r>
        <w:rPr>
          <w:rFonts w:hint="eastAsia" w:ascii="Times New Roman" w:hAnsi="Times New Roman" w:cs="Times New Roman"/>
          <w:kern w:val="0"/>
          <w:szCs w:val="28"/>
        </w:rPr>
        <w:t>“</w:t>
      </w:r>
      <w:r>
        <w:rPr>
          <w:rFonts w:ascii="Times New Roman" w:hAnsi="Times New Roman" w:cs="Times New Roman"/>
          <w:kern w:val="0"/>
          <w:szCs w:val="28"/>
        </w:rPr>
        <w:t>要坚持绿色、可持续发展，不能竭泽而渔，坚持用养结合、综合施策，确保黑土地不减少、不退化</w:t>
      </w:r>
      <w:r>
        <w:rPr>
          <w:rFonts w:hint="eastAsia" w:ascii="Times New Roman" w:hAnsi="Times New Roman" w:cs="Times New Roman"/>
          <w:kern w:val="0"/>
          <w:szCs w:val="28"/>
        </w:rPr>
        <w:t>”</w:t>
      </w:r>
      <w:r>
        <w:rPr>
          <w:rFonts w:ascii="Times New Roman" w:hAnsi="Times New Roman" w:cs="Times New Roman"/>
          <w:kern w:val="0"/>
          <w:szCs w:val="28"/>
        </w:rPr>
        <w:t>的重要原则，念好生态</w:t>
      </w:r>
      <w:r>
        <w:rPr>
          <w:rFonts w:hint="eastAsia" w:ascii="Times New Roman" w:hAnsi="Times New Roman" w:cs="Times New Roman"/>
          <w:kern w:val="0"/>
          <w:szCs w:val="28"/>
        </w:rPr>
        <w:t>“</w:t>
      </w:r>
      <w:r>
        <w:rPr>
          <w:rFonts w:ascii="Times New Roman" w:hAnsi="Times New Roman" w:cs="Times New Roman"/>
          <w:kern w:val="0"/>
          <w:szCs w:val="28"/>
        </w:rPr>
        <w:t>农业经</w:t>
      </w:r>
      <w:r>
        <w:rPr>
          <w:rFonts w:hint="eastAsia" w:ascii="Times New Roman" w:hAnsi="Times New Roman" w:cs="Times New Roman"/>
          <w:kern w:val="0"/>
          <w:szCs w:val="28"/>
        </w:rPr>
        <w:t>”</w:t>
      </w:r>
      <w:r>
        <w:rPr>
          <w:rFonts w:ascii="Times New Roman" w:hAnsi="Times New Roman" w:cs="Times New Roman"/>
          <w:kern w:val="0"/>
          <w:szCs w:val="28"/>
        </w:rPr>
        <w:t>。</w:t>
      </w:r>
    </w:p>
    <w:p>
      <w:pPr>
        <w:autoSpaceDE w:val="0"/>
        <w:autoSpaceDN w:val="0"/>
        <w:ind w:left="113" w:right="102" w:firstLine="560"/>
        <w:rPr>
          <w:rFonts w:ascii="Times New Roman" w:hAnsi="Times New Roman" w:cs="Times New Roman"/>
          <w:kern w:val="0"/>
          <w:szCs w:val="28"/>
        </w:rPr>
      </w:pPr>
      <w:r>
        <w:rPr>
          <w:rFonts w:ascii="Times New Roman" w:hAnsi="Times New Roman" w:cs="Times New Roman"/>
          <w:kern w:val="0"/>
          <w:szCs w:val="28"/>
        </w:rPr>
        <w:t>通过国家生态文明示范市建设能够带动全局绿色经济发展，培育新的经济增长点，固本强基，促进可持续发展。通过实施产业发展战略将有利于生产方式的转变和优化产业结构，可提高区域经济发展质量，始终坚持走资源节约、环境友好型的农业现代化道路，提高全局综合长远竞争力。通过优化产业空间布局，依据区域资源优势以及资源承载能力，大力发展的生态型产业，可促进资源的合理配置和可持续利用。通过做大做强生态产业，可有效拉动全市的经济增长。通过实施清洁生产和资源综合利用，可形成高效低耗减污的资源利用方式，可明显提高全市综合竞争能力，有效推动当地经济的发展。同时通过提高原料和能源使用率，降低废物处理成本及生产成本，也可获得良好的间接经济效益。</w:t>
      </w:r>
    </w:p>
    <w:p>
      <w:pPr>
        <w:pStyle w:val="5"/>
      </w:pPr>
      <w:bookmarkStart w:id="860" w:name="_Toc77601305"/>
      <w:bookmarkStart w:id="861" w:name="_Toc77601487"/>
      <w:r>
        <w:t>（</w:t>
      </w:r>
      <w:r>
        <w:rPr>
          <w:rFonts w:hint="eastAsia"/>
        </w:rPr>
        <w:t>二</w:t>
      </w:r>
      <w:r>
        <w:t>）</w:t>
      </w:r>
      <w:r>
        <w:rPr>
          <w:rFonts w:hint="eastAsia"/>
        </w:rPr>
        <w:t>实施生态农业战略</w:t>
      </w:r>
      <w:bookmarkEnd w:id="860"/>
      <w:bookmarkEnd w:id="861"/>
    </w:p>
    <w:p>
      <w:pPr>
        <w:autoSpaceDE w:val="0"/>
        <w:autoSpaceDN w:val="0"/>
        <w:ind w:left="113" w:right="102" w:firstLine="560"/>
        <w:rPr>
          <w:rFonts w:ascii="Times New Roman" w:hAnsi="Times New Roman" w:cs="Times New Roman"/>
          <w:kern w:val="0"/>
          <w:szCs w:val="28"/>
        </w:rPr>
      </w:pPr>
      <w:r>
        <w:rPr>
          <w:rFonts w:ascii="Times New Roman" w:hAnsi="Times New Roman" w:cs="Times New Roman"/>
          <w:kern w:val="0"/>
          <w:szCs w:val="28"/>
        </w:rPr>
        <w:t>通过实施生态农业战略，开展特色农业、特色畜牧业，以及有机产品基地、生态农业示范基地、循环经济示范园区等项目建设，可不断提高农产品质量和产量，增加农业产值及附加值，从而有效带动农民收入的增加。同时，通过开展测土施肥，使用有机肥，以及秸秆和畜禽粪便资源化综合利用等工程，也会直接或间接促进农民收入的可持续增长。同时，生态产业的发展带动了人民致富，重点建设项目的投资与实施也将拉动产业经济的增长，为社会创造更多的就业机会。扩大了就业，给当地农民带来明显的经济效益。</w:t>
      </w:r>
    </w:p>
    <w:p>
      <w:pPr>
        <w:pStyle w:val="5"/>
      </w:pPr>
      <w:bookmarkStart w:id="862" w:name="_Toc77601306"/>
      <w:bookmarkStart w:id="863" w:name="_Toc77601488"/>
      <w:r>
        <w:t>（</w:t>
      </w:r>
      <w:r>
        <w:rPr>
          <w:rFonts w:hint="eastAsia"/>
        </w:rPr>
        <w:t>三</w:t>
      </w:r>
      <w:r>
        <w:t>）</w:t>
      </w:r>
      <w:r>
        <w:rPr>
          <w:rFonts w:hint="eastAsia"/>
        </w:rPr>
        <w:t>减少生态经济损失</w:t>
      </w:r>
      <w:bookmarkEnd w:id="862"/>
      <w:bookmarkEnd w:id="863"/>
    </w:p>
    <w:p>
      <w:pPr>
        <w:autoSpaceDE w:val="0"/>
        <w:autoSpaceDN w:val="0"/>
        <w:ind w:left="113" w:right="102" w:firstLine="560"/>
        <w:rPr>
          <w:rFonts w:ascii="Times New Roman" w:hAnsi="Times New Roman" w:cs="Times New Roman"/>
          <w:kern w:val="0"/>
          <w:szCs w:val="28"/>
        </w:rPr>
      </w:pPr>
      <w:r>
        <w:rPr>
          <w:rFonts w:ascii="Times New Roman" w:hAnsi="Times New Roman" w:cs="Times New Roman"/>
          <w:kern w:val="0"/>
          <w:szCs w:val="28"/>
        </w:rPr>
        <w:t>通过实施生态保护和污染防治战略以及生态产业战略，推进全局发展绿色生态农业，免耕深松、黑土层保护、秸秆还田和休耕轮作等生态保护制度得到落实，环境质量将得到持续改善，生态功能将稳步提高，良好的生态环境将大大增强区域生态系统的防灾、减灾能力，减轻突发性自然灾害带来的生态经济损失。</w:t>
      </w:r>
    </w:p>
    <w:p>
      <w:pPr>
        <w:pStyle w:val="4"/>
        <w:rPr>
          <w:rFonts w:ascii="宋体" w:hAnsi="宋体"/>
        </w:rPr>
      </w:pPr>
      <w:bookmarkStart w:id="864" w:name="_Toc77601307"/>
      <w:bookmarkStart w:id="865" w:name="_Toc77601489"/>
      <w:bookmarkStart w:id="866" w:name="_Toc77600940"/>
      <w:r>
        <w:rPr>
          <w:rFonts w:hint="eastAsia" w:ascii="宋体" w:hAnsi="宋体"/>
        </w:rPr>
        <w:t>三</w:t>
      </w:r>
      <w:r>
        <w:rPr>
          <w:rFonts w:ascii="宋体" w:hAnsi="宋体"/>
        </w:rPr>
        <w:t>、</w:t>
      </w:r>
      <w:r>
        <w:rPr>
          <w:rFonts w:hint="eastAsia"/>
        </w:rPr>
        <w:t>社会效益</w:t>
      </w:r>
      <w:bookmarkEnd w:id="864"/>
      <w:bookmarkEnd w:id="865"/>
      <w:bookmarkEnd w:id="866"/>
    </w:p>
    <w:p>
      <w:pPr>
        <w:pStyle w:val="5"/>
      </w:pPr>
      <w:bookmarkStart w:id="867" w:name="_Toc77601490"/>
      <w:bookmarkStart w:id="868" w:name="_Toc77601308"/>
      <w:r>
        <w:t>（一）</w:t>
      </w:r>
      <w:r>
        <w:rPr>
          <w:rFonts w:hint="eastAsia"/>
        </w:rPr>
        <w:t>投资环境可明显改善</w:t>
      </w:r>
      <w:bookmarkEnd w:id="867"/>
      <w:bookmarkEnd w:id="868"/>
    </w:p>
    <w:p>
      <w:pPr>
        <w:autoSpaceDE w:val="0"/>
        <w:autoSpaceDN w:val="0"/>
        <w:ind w:left="113" w:right="102" w:firstLine="560"/>
        <w:rPr>
          <w:rFonts w:ascii="Times New Roman" w:hAnsi="Times New Roman" w:cs="Times New Roman"/>
          <w:kern w:val="0"/>
          <w:szCs w:val="28"/>
        </w:rPr>
      </w:pPr>
      <w:r>
        <w:rPr>
          <w:rFonts w:ascii="Times New Roman" w:hAnsi="Times New Roman" w:cs="Times New Roman"/>
          <w:kern w:val="0"/>
          <w:szCs w:val="28"/>
        </w:rPr>
        <w:t>通过开展国家生态文明示范市的创建，迈向更高标准、更高水平的农业现代化，打造智慧农业先行区，全面开启现代化农业管理新模式。在农业现代化顶层设计上要体现出在全国具有引领性、前瞻性和示范性。全市的生态环境明显改善，而良好的生态环境质量是吸引投资者的重要因素。预计将会有大量的国内外资金到此投资，对招商引资必将起到促进作用。</w:t>
      </w:r>
    </w:p>
    <w:p>
      <w:pPr>
        <w:pStyle w:val="5"/>
        <w:rPr>
          <w:szCs w:val="44"/>
        </w:rPr>
      </w:pPr>
      <w:bookmarkStart w:id="869" w:name="_Toc77601309"/>
      <w:bookmarkStart w:id="870" w:name="_Toc77601491"/>
      <w:r>
        <w:t>（</w:t>
      </w:r>
      <w:r>
        <w:rPr>
          <w:rFonts w:hint="eastAsia"/>
        </w:rPr>
        <w:t>二</w:t>
      </w:r>
      <w:r>
        <w:t>）</w:t>
      </w:r>
      <w:r>
        <w:rPr>
          <w:rFonts w:hint="eastAsia"/>
        </w:rPr>
        <w:t>生活质量可明显提高</w:t>
      </w:r>
      <w:bookmarkEnd w:id="869"/>
      <w:bookmarkEnd w:id="870"/>
    </w:p>
    <w:p>
      <w:pPr>
        <w:autoSpaceDE w:val="0"/>
        <w:autoSpaceDN w:val="0"/>
        <w:ind w:left="113" w:right="102" w:firstLine="560"/>
        <w:rPr>
          <w:rFonts w:ascii="Times New Roman" w:hAnsi="Times New Roman" w:cs="Times New Roman"/>
          <w:kern w:val="0"/>
          <w:szCs w:val="28"/>
        </w:rPr>
      </w:pPr>
      <w:r>
        <w:rPr>
          <w:rFonts w:ascii="Times New Roman" w:hAnsi="Times New Roman" w:cs="Times New Roman"/>
          <w:kern w:val="0"/>
          <w:szCs w:val="28"/>
        </w:rPr>
        <w:t>以生态文明建设为基础，以特色城镇为支撑，以智慧城镇为保障，促进城镇建设提挡升级，打造宜居、宜工、宜商、宜游的城镇群。通过实施生态文明战略和环境保护基础设施建设，将使抚远市的大气、污水、固废和噪声等环境得到进一步提高，生态景观将更加美丽多姿。随着生态文明等理念不断的普及，经济发展的不断增长、农场人居环境的不断改善、饮水安全等重要民生问题的不断解决，人民的生活水平和生活质量也将不断提高，社会将更加和谐稳定，城乡居民传统生产、生活方式及价值观念会向环境友好、资源高效、系统和谐、社会融洽的生态文化转型，实现物质文明与精神文明的同步发展，将极大地促进社会文明与进步。</w:t>
      </w:r>
    </w:p>
    <w:p>
      <w:pPr>
        <w:pStyle w:val="5"/>
        <w:rPr>
          <w:rFonts w:ascii="宋体" w:hAnsi="宋体"/>
          <w:kern w:val="44"/>
          <w:szCs w:val="44"/>
        </w:rPr>
      </w:pPr>
      <w:bookmarkStart w:id="871" w:name="_Toc77601310"/>
      <w:bookmarkStart w:id="872" w:name="_Toc77601492"/>
      <w:r>
        <w:rPr>
          <w:rFonts w:ascii="宋体" w:hAnsi="宋体"/>
          <w:kern w:val="44"/>
          <w:sz w:val="30"/>
          <w:szCs w:val="30"/>
        </w:rPr>
        <w:t>（</w:t>
      </w:r>
      <w:r>
        <w:rPr>
          <w:rFonts w:hint="eastAsia" w:ascii="宋体" w:hAnsi="宋体"/>
          <w:kern w:val="44"/>
          <w:sz w:val="30"/>
          <w:szCs w:val="30"/>
        </w:rPr>
        <w:t>三</w:t>
      </w:r>
      <w:r>
        <w:rPr>
          <w:rFonts w:ascii="宋体" w:hAnsi="宋体"/>
          <w:kern w:val="44"/>
          <w:sz w:val="30"/>
          <w:szCs w:val="30"/>
        </w:rPr>
        <w:t>）</w:t>
      </w:r>
      <w:r>
        <w:rPr>
          <w:rFonts w:hint="eastAsia"/>
        </w:rPr>
        <w:t>人口素质可明显增强</w:t>
      </w:r>
      <w:bookmarkEnd w:id="871"/>
      <w:bookmarkEnd w:id="872"/>
    </w:p>
    <w:p>
      <w:pPr>
        <w:autoSpaceDE w:val="0"/>
        <w:autoSpaceDN w:val="0"/>
        <w:ind w:left="113" w:right="102" w:firstLine="560"/>
        <w:rPr>
          <w:rFonts w:ascii="Times New Roman" w:hAnsi="Times New Roman" w:cs="Times New Roman"/>
          <w:kern w:val="0"/>
          <w:szCs w:val="28"/>
        </w:rPr>
      </w:pPr>
      <w:r>
        <w:rPr>
          <w:rFonts w:ascii="Times New Roman" w:hAnsi="Times New Roman" w:cs="Times New Roman"/>
          <w:kern w:val="0"/>
          <w:szCs w:val="28"/>
        </w:rPr>
        <w:t>通过生态文化建设，生态理念和生态思想将会渗透到政府各个部门和企业单位，并转化为全社会百姓参与的行动，将从多方面转变人们对环境的传统观念，推动传统文化与现代生态文明的有机结合，树立起节约资源的思想和保护环境意识，增强人们珍惜资源与环境的的责任心和人口素质。营造出一种人与自然、人与人之间和谐相处的氛围，促进和保障社会经济环境持续发展。</w:t>
      </w:r>
    </w:p>
    <w:p>
      <w:pPr>
        <w:autoSpaceDE w:val="0"/>
        <w:autoSpaceDN w:val="0"/>
        <w:ind w:right="102" w:firstLine="0" w:firstLineChars="0"/>
        <w:jc w:val="left"/>
        <w:rPr>
          <w:rFonts w:ascii="Times New Roman" w:hAnsi="Times New Roman" w:cs="Times New Roman"/>
          <w:kern w:val="0"/>
          <w:szCs w:val="28"/>
        </w:rPr>
        <w:sectPr>
          <w:pgSz w:w="11906" w:h="16838"/>
          <w:pgMar w:top="1440" w:right="1800" w:bottom="1440" w:left="1800" w:header="851" w:footer="992" w:gutter="0"/>
          <w:cols w:space="425" w:num="1"/>
          <w:docGrid w:type="lines" w:linePitch="435" w:charSpace="0"/>
        </w:sectPr>
      </w:pPr>
    </w:p>
    <w:p>
      <w:pPr>
        <w:widowControl/>
        <w:shd w:val="clear" w:color="auto" w:fill="FFFFFF"/>
        <w:adjustRightInd w:val="0"/>
        <w:snapToGrid w:val="0"/>
        <w:spacing w:after="217" w:afterLines="50" w:line="600" w:lineRule="exact"/>
        <w:ind w:firstLine="883"/>
        <w:outlineLvl w:val="0"/>
        <w:rPr>
          <w:rFonts w:ascii="宋体" w:hAnsi="宋体" w:cs="Times New Roman"/>
          <w:b/>
          <w:bCs/>
          <w:kern w:val="0"/>
          <w:sz w:val="44"/>
          <w:szCs w:val="44"/>
        </w:rPr>
      </w:pPr>
      <w:bookmarkStart w:id="873" w:name="_Toc77601311"/>
      <w:bookmarkStart w:id="874" w:name="_Toc77601493"/>
      <w:bookmarkStart w:id="875" w:name="_Toc77600941"/>
      <w:r>
        <w:rPr>
          <w:rFonts w:hint="eastAsia" w:ascii="宋体" w:hAnsi="宋体" w:cs="Times New Roman"/>
          <w:b/>
          <w:bCs/>
          <w:kern w:val="0"/>
          <w:sz w:val="44"/>
          <w:szCs w:val="44"/>
        </w:rPr>
        <w:t>附 图</w:t>
      </w:r>
      <w:bookmarkEnd w:id="873"/>
      <w:bookmarkEnd w:id="874"/>
      <w:bookmarkEnd w:id="875"/>
    </w:p>
    <w:p>
      <w:pPr>
        <w:adjustRightInd w:val="0"/>
        <w:ind w:firstLine="560"/>
        <w:jc w:val="center"/>
        <w:textAlignment w:val="baseline"/>
        <w:rPr>
          <w:rFonts w:ascii="Times New Roman" w:hAnsi="Times New Roman" w:cs="Times New Roman"/>
          <w:kern w:val="0"/>
          <w:szCs w:val="28"/>
        </w:rPr>
      </w:pPr>
      <w:r>
        <w:rPr>
          <w:rFonts w:ascii="Times New Roman" w:hAnsi="Times New Roman"/>
        </w:rPr>
        <w:drawing>
          <wp:inline distT="0" distB="0" distL="0" distR="0">
            <wp:extent cx="6623050" cy="467995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623508" cy="4680000"/>
                    </a:xfrm>
                    <a:prstGeom prst="rect">
                      <a:avLst/>
                    </a:prstGeom>
                    <a:noFill/>
                    <a:ln>
                      <a:noFill/>
                    </a:ln>
                  </pic:spPr>
                </pic:pic>
              </a:graphicData>
            </a:graphic>
          </wp:inline>
        </w:drawing>
      </w:r>
    </w:p>
    <w:p>
      <w:pPr>
        <w:adjustRightInd w:val="0"/>
        <w:ind w:firstLineChars="71"/>
        <w:textAlignment w:val="baseline"/>
        <w:rPr>
          <w:rFonts w:ascii="Times New Roman" w:hAnsi="Times New Roman" w:cs="Times New Roman"/>
          <w:b/>
          <w:bCs/>
          <w:kern w:val="0"/>
          <w:szCs w:val="28"/>
        </w:rPr>
        <w:sectPr>
          <w:pgSz w:w="16838" w:h="11906" w:orient="landscape"/>
          <w:pgMar w:top="1800" w:right="1440" w:bottom="1800" w:left="1440" w:header="851" w:footer="992" w:gutter="0"/>
          <w:cols w:space="425" w:num="1"/>
          <w:docGrid w:type="lines" w:linePitch="435" w:charSpace="0"/>
        </w:sectPr>
      </w:pPr>
    </w:p>
    <w:p>
      <w:pPr>
        <w:adjustRightInd w:val="0"/>
        <w:ind w:firstLine="562"/>
        <w:jc w:val="center"/>
        <w:textAlignment w:val="baseline"/>
        <w:rPr>
          <w:rFonts w:ascii="Times New Roman" w:hAnsi="Times New Roman" w:cs="Times New Roman"/>
          <w:b/>
          <w:bCs/>
          <w:kern w:val="0"/>
          <w:szCs w:val="28"/>
        </w:rPr>
      </w:pPr>
    </w:p>
    <w:p>
      <w:pPr>
        <w:adjustRightInd w:val="0"/>
        <w:ind w:firstLine="560"/>
        <w:jc w:val="center"/>
        <w:textAlignment w:val="baseline"/>
        <w:rPr>
          <w:rFonts w:ascii="Times New Roman" w:hAnsi="Times New Roman" w:cs="Times New Roman"/>
          <w:kern w:val="0"/>
          <w:szCs w:val="28"/>
        </w:rPr>
      </w:pPr>
      <w:r>
        <w:rPr>
          <w:rFonts w:ascii="Times New Roman" w:hAnsi="Times New Roman"/>
        </w:rPr>
        <w:drawing>
          <wp:inline distT="0" distB="0" distL="0" distR="0">
            <wp:extent cx="6623050" cy="467995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623509" cy="4680000"/>
                    </a:xfrm>
                    <a:prstGeom prst="rect">
                      <a:avLst/>
                    </a:prstGeom>
                    <a:noFill/>
                    <a:ln>
                      <a:noFill/>
                    </a:ln>
                  </pic:spPr>
                </pic:pic>
              </a:graphicData>
            </a:graphic>
          </wp:inline>
        </w:drawing>
      </w:r>
    </w:p>
    <w:p>
      <w:pPr>
        <w:adjustRightInd w:val="0"/>
        <w:ind w:firstLine="560"/>
        <w:jc w:val="center"/>
        <w:textAlignment w:val="baseline"/>
        <w:rPr>
          <w:rFonts w:ascii="Times New Roman" w:hAnsi="Times New Roman" w:cs="Times New Roman"/>
          <w:kern w:val="0"/>
          <w:szCs w:val="28"/>
        </w:rPr>
      </w:pPr>
      <w:r>
        <w:rPr>
          <w:rFonts w:ascii="Times New Roman" w:hAnsi="Times New Roman"/>
        </w:rPr>
        <w:drawing>
          <wp:inline distT="0" distB="0" distL="0" distR="0">
            <wp:extent cx="6623050" cy="4679950"/>
            <wp:effectExtent l="0" t="0" r="635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623509" cy="4680000"/>
                    </a:xfrm>
                    <a:prstGeom prst="rect">
                      <a:avLst/>
                    </a:prstGeom>
                    <a:noFill/>
                    <a:ln>
                      <a:noFill/>
                    </a:ln>
                  </pic:spPr>
                </pic:pic>
              </a:graphicData>
            </a:graphic>
          </wp:inline>
        </w:drawing>
      </w:r>
    </w:p>
    <w:p>
      <w:pPr>
        <w:adjustRightInd w:val="0"/>
        <w:ind w:firstLine="0" w:firstLineChars="0"/>
        <w:textAlignment w:val="baseline"/>
        <w:rPr>
          <w:rFonts w:ascii="Times New Roman" w:hAnsi="Times New Roman" w:cs="Times New Roman"/>
          <w:kern w:val="0"/>
          <w:szCs w:val="28"/>
        </w:rPr>
      </w:pPr>
    </w:p>
    <w:p>
      <w:pPr>
        <w:ind w:firstLine="0" w:firstLineChars="0"/>
        <w:jc w:val="left"/>
        <w:rPr>
          <w:rFonts w:ascii="Times New Roman" w:hAnsi="Times New Roman" w:cs="Times New Roman"/>
          <w:b/>
          <w:bCs/>
          <w:szCs w:val="28"/>
        </w:rPr>
        <w:sectPr>
          <w:pgSz w:w="16838" w:h="11906" w:orient="landscape"/>
          <w:pgMar w:top="1800" w:right="1440" w:bottom="1800" w:left="1440" w:header="851" w:footer="992" w:gutter="0"/>
          <w:cols w:space="425" w:num="1"/>
          <w:docGrid w:type="lines" w:linePitch="435" w:charSpace="0"/>
        </w:sectPr>
      </w:pPr>
    </w:p>
    <w:p>
      <w:pPr>
        <w:adjustRightInd w:val="0"/>
        <w:ind w:firstLine="560"/>
        <w:jc w:val="center"/>
        <w:textAlignment w:val="baseline"/>
        <w:rPr>
          <w:rFonts w:ascii="Times New Roman" w:hAnsi="Times New Roman" w:cs="Times New Roman"/>
          <w:kern w:val="0"/>
          <w:szCs w:val="28"/>
        </w:rPr>
      </w:pPr>
    </w:p>
    <w:p>
      <w:pPr>
        <w:ind w:firstLine="560"/>
        <w:jc w:val="center"/>
        <w:rPr>
          <w:rFonts w:ascii="Times New Roman" w:hAnsi="Times New Roman" w:cs="Times New Roman"/>
          <w:szCs w:val="28"/>
        </w:rPr>
      </w:pPr>
      <w:r>
        <w:rPr>
          <w:rFonts w:ascii="Times New Roman" w:hAnsi="Times New Roman"/>
        </w:rPr>
        <w:drawing>
          <wp:inline distT="0" distB="0" distL="0" distR="0">
            <wp:extent cx="6623050" cy="4679950"/>
            <wp:effectExtent l="0" t="0" r="635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623509" cy="4680000"/>
                    </a:xfrm>
                    <a:prstGeom prst="rect">
                      <a:avLst/>
                    </a:prstGeom>
                    <a:noFill/>
                    <a:ln>
                      <a:noFill/>
                    </a:ln>
                  </pic:spPr>
                </pic:pic>
              </a:graphicData>
            </a:graphic>
          </wp:inline>
        </w:drawing>
      </w:r>
    </w:p>
    <w:p>
      <w:pPr>
        <w:ind w:firstLine="0" w:firstLineChars="0"/>
        <w:rPr>
          <w:rFonts w:ascii="Times New Roman" w:hAnsi="Times New Roman" w:cs="Times New Roman"/>
          <w:szCs w:val="28"/>
        </w:rPr>
      </w:pPr>
    </w:p>
    <w:p>
      <w:pPr>
        <w:adjustRightInd w:val="0"/>
        <w:ind w:firstLine="560"/>
        <w:jc w:val="center"/>
        <w:textAlignment w:val="baseline"/>
        <w:rPr>
          <w:rFonts w:ascii="Times New Roman" w:hAnsi="Times New Roman" w:cs="Times New Roman"/>
          <w:b/>
          <w:bCs/>
          <w:kern w:val="0"/>
          <w:szCs w:val="28"/>
        </w:rPr>
      </w:pPr>
      <w:r>
        <w:rPr>
          <w:rFonts w:ascii="Times New Roman" w:hAnsi="Times New Roman"/>
        </w:rPr>
        <w:drawing>
          <wp:inline distT="0" distB="0" distL="0" distR="0">
            <wp:extent cx="6623050" cy="4679950"/>
            <wp:effectExtent l="0" t="0" r="635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623509" cy="4680000"/>
                    </a:xfrm>
                    <a:prstGeom prst="rect">
                      <a:avLst/>
                    </a:prstGeom>
                    <a:noFill/>
                    <a:ln>
                      <a:noFill/>
                    </a:ln>
                  </pic:spPr>
                </pic:pic>
              </a:graphicData>
            </a:graphic>
          </wp:inline>
        </w:drawing>
      </w:r>
    </w:p>
    <w:p>
      <w:pPr>
        <w:adjustRightInd w:val="0"/>
        <w:ind w:firstLine="0" w:firstLineChars="0"/>
        <w:jc w:val="left"/>
        <w:textAlignment w:val="baseline"/>
        <w:rPr>
          <w:rFonts w:ascii="Times New Roman" w:hAnsi="Times New Roman" w:cs="Times New Roman"/>
          <w:b/>
          <w:bCs/>
          <w:kern w:val="0"/>
          <w:szCs w:val="28"/>
        </w:rPr>
        <w:sectPr>
          <w:pgSz w:w="16838" w:h="11906" w:orient="landscape"/>
          <w:pgMar w:top="1800" w:right="1440" w:bottom="1800" w:left="1440" w:header="851" w:footer="992" w:gutter="0"/>
          <w:cols w:space="425" w:num="1"/>
          <w:docGrid w:type="lines" w:linePitch="435" w:charSpace="0"/>
        </w:sectPr>
      </w:pPr>
    </w:p>
    <w:p>
      <w:pPr>
        <w:adjustRightInd w:val="0"/>
        <w:ind w:firstLineChars="71"/>
        <w:jc w:val="left"/>
        <w:textAlignment w:val="baseline"/>
        <w:rPr>
          <w:rFonts w:ascii="Times New Roman" w:hAnsi="Times New Roman" w:cs="Times New Roman"/>
          <w:b/>
          <w:bCs/>
          <w:kern w:val="0"/>
          <w:szCs w:val="28"/>
        </w:rPr>
      </w:pPr>
    </w:p>
    <w:p>
      <w:pPr>
        <w:adjustRightInd w:val="0"/>
        <w:ind w:firstLine="560"/>
        <w:jc w:val="center"/>
        <w:textAlignment w:val="baseline"/>
        <w:rPr>
          <w:rFonts w:ascii="Times New Roman" w:hAnsi="Times New Roman" w:cs="Times New Roman"/>
          <w:b/>
          <w:bCs/>
          <w:kern w:val="0"/>
          <w:szCs w:val="28"/>
        </w:rPr>
      </w:pPr>
      <w:r>
        <w:rPr>
          <w:rFonts w:ascii="Times New Roman" w:hAnsi="Times New Roman"/>
        </w:rPr>
        <w:drawing>
          <wp:inline distT="0" distB="0" distL="0" distR="0">
            <wp:extent cx="6623050" cy="4679950"/>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623509" cy="4680000"/>
                    </a:xfrm>
                    <a:prstGeom prst="rect">
                      <a:avLst/>
                    </a:prstGeom>
                    <a:noFill/>
                    <a:ln>
                      <a:noFill/>
                    </a:ln>
                  </pic:spPr>
                </pic:pic>
              </a:graphicData>
            </a:graphic>
          </wp:inline>
        </w:drawing>
      </w:r>
    </w:p>
    <w:p>
      <w:pPr>
        <w:adjustRightInd w:val="0"/>
        <w:ind w:firstLine="0" w:firstLineChars="0"/>
        <w:textAlignment w:val="baseline"/>
        <w:rPr>
          <w:rFonts w:ascii="Times New Roman" w:hAnsi="Times New Roman" w:cs="仿宋"/>
          <w:b/>
          <w:bCs/>
          <w:kern w:val="0"/>
          <w:szCs w:val="28"/>
        </w:rPr>
        <w:sectPr>
          <w:pgSz w:w="16838" w:h="11906" w:orient="landscape"/>
          <w:pgMar w:top="1800" w:right="1440" w:bottom="1800" w:left="1440" w:header="851" w:footer="992" w:gutter="0"/>
          <w:cols w:space="425" w:num="1"/>
          <w:docGrid w:type="lines" w:linePitch="435" w:charSpace="0"/>
        </w:sectPr>
      </w:pPr>
    </w:p>
    <w:p>
      <w:pPr>
        <w:adjustRightInd w:val="0"/>
        <w:ind w:firstLine="560"/>
        <w:textAlignment w:val="baseline"/>
        <w:rPr>
          <w:rFonts w:ascii="Times New Roman" w:hAnsi="Times New Roman" w:cs="Times New Roman"/>
          <w:kern w:val="0"/>
          <w:szCs w:val="28"/>
        </w:rPr>
      </w:pPr>
    </w:p>
    <w:p>
      <w:pPr>
        <w:adjustRightInd w:val="0"/>
        <w:ind w:firstLine="560"/>
        <w:jc w:val="center"/>
        <w:textAlignment w:val="baseline"/>
        <w:rPr>
          <w:rFonts w:ascii="Times New Roman" w:hAnsi="Times New Roman" w:cs="仿宋"/>
          <w:kern w:val="0"/>
          <w:szCs w:val="28"/>
        </w:rPr>
      </w:pPr>
      <w:r>
        <w:rPr>
          <w:rFonts w:ascii="Times New Roman" w:hAnsi="Times New Roman"/>
        </w:rPr>
        <w:drawing>
          <wp:inline distT="0" distB="0" distL="0" distR="0">
            <wp:extent cx="6623050" cy="4679950"/>
            <wp:effectExtent l="0" t="0" r="635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623509" cy="4680000"/>
                    </a:xfrm>
                    <a:prstGeom prst="rect">
                      <a:avLst/>
                    </a:prstGeom>
                    <a:noFill/>
                    <a:ln>
                      <a:noFill/>
                    </a:ln>
                  </pic:spPr>
                </pic:pic>
              </a:graphicData>
            </a:graphic>
          </wp:inline>
        </w:drawing>
      </w:r>
    </w:p>
    <w:p>
      <w:pPr>
        <w:adjustRightInd w:val="0"/>
        <w:ind w:firstLine="0" w:firstLineChars="0"/>
        <w:textAlignment w:val="baseline"/>
        <w:rPr>
          <w:rFonts w:ascii="Times New Roman" w:hAnsi="Times New Roman" w:cs="仿宋"/>
          <w:b/>
          <w:bCs/>
          <w:kern w:val="0"/>
          <w:szCs w:val="28"/>
        </w:rPr>
        <w:sectPr>
          <w:pgSz w:w="16838" w:h="11906" w:orient="landscape"/>
          <w:pgMar w:top="1800" w:right="1440" w:bottom="1800" w:left="1440" w:header="851" w:footer="992" w:gutter="0"/>
          <w:cols w:space="425" w:num="1"/>
          <w:docGrid w:type="lines" w:linePitch="435" w:charSpace="0"/>
        </w:sectPr>
      </w:pPr>
    </w:p>
    <w:p>
      <w:pPr>
        <w:adjustRightInd w:val="0"/>
        <w:ind w:firstLine="562"/>
        <w:jc w:val="center"/>
        <w:textAlignment w:val="baseline"/>
        <w:rPr>
          <w:rFonts w:ascii="Times New Roman" w:hAnsi="Times New Roman" w:cs="仿宋"/>
          <w:b/>
          <w:bCs/>
          <w:kern w:val="0"/>
          <w:szCs w:val="28"/>
        </w:rPr>
      </w:pPr>
    </w:p>
    <w:p>
      <w:pPr>
        <w:adjustRightInd w:val="0"/>
        <w:ind w:firstLine="560"/>
        <w:jc w:val="center"/>
        <w:textAlignment w:val="baseline"/>
        <w:rPr>
          <w:rFonts w:ascii="Times New Roman" w:hAnsi="Times New Roman" w:cs="仿宋"/>
          <w:kern w:val="0"/>
          <w:szCs w:val="28"/>
        </w:rPr>
      </w:pPr>
      <w:r>
        <w:rPr>
          <w:rFonts w:ascii="Times New Roman" w:hAnsi="Times New Roman"/>
        </w:rPr>
        <w:drawing>
          <wp:inline distT="0" distB="0" distL="0" distR="0">
            <wp:extent cx="6623050" cy="4679950"/>
            <wp:effectExtent l="0" t="0" r="635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623509" cy="4680000"/>
                    </a:xfrm>
                    <a:prstGeom prst="rect">
                      <a:avLst/>
                    </a:prstGeom>
                    <a:noFill/>
                    <a:ln>
                      <a:noFill/>
                    </a:ln>
                  </pic:spPr>
                </pic:pic>
              </a:graphicData>
            </a:graphic>
          </wp:inline>
        </w:drawing>
      </w:r>
    </w:p>
    <w:p>
      <w:pPr>
        <w:adjustRightInd w:val="0"/>
        <w:ind w:firstLine="0" w:firstLineChars="0"/>
        <w:textAlignment w:val="baseline"/>
        <w:rPr>
          <w:rFonts w:ascii="Times New Roman" w:hAnsi="Times New Roman" w:cs="仿宋"/>
          <w:kern w:val="0"/>
          <w:szCs w:val="28"/>
        </w:rPr>
      </w:pPr>
    </w:p>
    <w:p>
      <w:pPr>
        <w:adjustRightInd w:val="0"/>
        <w:ind w:firstLine="0" w:firstLineChars="0"/>
        <w:jc w:val="center"/>
        <w:textAlignment w:val="baseline"/>
        <w:rPr>
          <w:rFonts w:ascii="Times New Roman" w:hAnsi="Times New Roman" w:cs="仿宋"/>
          <w:kern w:val="0"/>
          <w:szCs w:val="28"/>
        </w:rPr>
      </w:pPr>
      <w:r>
        <w:rPr>
          <w:rFonts w:ascii="Times New Roman" w:hAnsi="Times New Roman"/>
        </w:rPr>
        <w:drawing>
          <wp:inline distT="0" distB="0" distL="0" distR="0">
            <wp:extent cx="6617970" cy="4679950"/>
            <wp:effectExtent l="0" t="0" r="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6618001" cy="4680000"/>
                    </a:xfrm>
                    <a:prstGeom prst="rect">
                      <a:avLst/>
                    </a:prstGeom>
                    <a:noFill/>
                    <a:ln>
                      <a:noFill/>
                    </a:ln>
                  </pic:spPr>
                </pic:pic>
              </a:graphicData>
            </a:graphic>
          </wp:inline>
        </w:drawing>
      </w:r>
    </w:p>
    <w:p>
      <w:pPr>
        <w:overflowPunct w:val="0"/>
        <w:ind w:firstLine="560"/>
        <w:jc w:val="center"/>
        <w:rPr>
          <w:rFonts w:ascii="Times New Roman" w:hAnsi="Times New Roman" w:cs="仿宋"/>
          <w:kern w:val="0"/>
          <w:szCs w:val="28"/>
        </w:rPr>
      </w:pPr>
      <w:r>
        <w:rPr>
          <w:rFonts w:ascii="Times New Roman" w:hAnsi="Times New Roman"/>
        </w:rPr>
        <w:drawing>
          <wp:inline distT="0" distB="0" distL="0" distR="0">
            <wp:extent cx="6623050" cy="4679950"/>
            <wp:effectExtent l="0" t="0" r="635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6623509" cy="4680000"/>
                    </a:xfrm>
                    <a:prstGeom prst="rect">
                      <a:avLst/>
                    </a:prstGeom>
                    <a:noFill/>
                    <a:ln>
                      <a:noFill/>
                    </a:ln>
                  </pic:spPr>
                </pic:pic>
              </a:graphicData>
            </a:graphic>
          </wp:inline>
        </w:drawing>
      </w:r>
    </w:p>
    <w:p>
      <w:pPr>
        <w:overflowPunct w:val="0"/>
        <w:ind w:firstLine="0" w:firstLineChars="0"/>
        <w:rPr>
          <w:rFonts w:ascii="Times New Roman" w:hAnsi="Times New Roman" w:cs="仿宋"/>
          <w:b/>
          <w:bCs/>
          <w:kern w:val="0"/>
          <w:szCs w:val="28"/>
        </w:rPr>
      </w:pPr>
    </w:p>
    <w:p>
      <w:pPr>
        <w:adjustRightInd w:val="0"/>
        <w:ind w:firstLine="0" w:firstLineChars="0"/>
        <w:textAlignment w:val="baseline"/>
        <w:rPr>
          <w:rFonts w:ascii="Times New Roman" w:hAnsi="Times New Roman" w:cs="仿宋"/>
          <w:b/>
          <w:bCs/>
          <w:kern w:val="0"/>
          <w:szCs w:val="28"/>
        </w:rPr>
        <w:sectPr>
          <w:pgSz w:w="16838" w:h="11906" w:orient="landscape"/>
          <w:pgMar w:top="1800" w:right="1440" w:bottom="1800" w:left="1440" w:header="851" w:footer="992" w:gutter="0"/>
          <w:cols w:space="425" w:num="1"/>
          <w:docGrid w:type="lines" w:linePitch="435" w:charSpace="0"/>
        </w:sectPr>
      </w:pPr>
    </w:p>
    <w:p>
      <w:pPr>
        <w:overflowPunct w:val="0"/>
        <w:ind w:firstLine="0" w:firstLineChars="0"/>
        <w:rPr>
          <w:rFonts w:ascii="Times New Roman" w:hAnsi="Times New Roman" w:cs="仿宋"/>
          <w:b/>
          <w:bCs/>
          <w:kern w:val="0"/>
          <w:szCs w:val="28"/>
        </w:rPr>
      </w:pPr>
    </w:p>
    <w:p>
      <w:pPr>
        <w:adjustRightInd w:val="0"/>
        <w:ind w:firstLine="560"/>
        <w:jc w:val="center"/>
        <w:textAlignment w:val="baseline"/>
        <w:rPr>
          <w:rFonts w:ascii="Times New Roman" w:hAnsi="Times New Roman" w:cs="仿宋"/>
          <w:kern w:val="0"/>
          <w:szCs w:val="28"/>
        </w:rPr>
      </w:pPr>
      <w:r>
        <w:rPr>
          <w:rFonts w:ascii="Times New Roman" w:hAnsi="Times New Roman"/>
        </w:rPr>
        <w:drawing>
          <wp:inline distT="0" distB="0" distL="0" distR="0">
            <wp:extent cx="6623050" cy="4679950"/>
            <wp:effectExtent l="0" t="0" r="635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623509" cy="4680000"/>
                    </a:xfrm>
                    <a:prstGeom prst="rect">
                      <a:avLst/>
                    </a:prstGeom>
                    <a:noFill/>
                    <a:ln>
                      <a:noFill/>
                    </a:ln>
                  </pic:spPr>
                </pic:pic>
              </a:graphicData>
            </a:graphic>
          </wp:inline>
        </w:drawing>
      </w:r>
    </w:p>
    <w:p>
      <w:pPr>
        <w:pStyle w:val="2"/>
        <w:ind w:firstLine="600"/>
        <w:rPr>
          <w:lang w:eastAsia="zh-CN"/>
        </w:rPr>
      </w:pPr>
    </w:p>
    <w:p>
      <w:pPr>
        <w:spacing w:line="240" w:lineRule="auto"/>
        <w:ind w:firstLine="0" w:firstLineChars="0"/>
        <w:jc w:val="center"/>
        <w:rPr>
          <w:rFonts w:ascii="Times New Roman" w:hAnsi="Times New Roman" w:cs="Times New Roman"/>
          <w:sz w:val="24"/>
          <w:szCs w:val="24"/>
          <w:highlight w:val="yellow"/>
        </w:rPr>
      </w:pPr>
      <w:r>
        <w:rPr>
          <w:rFonts w:ascii="Times New Roman" w:hAnsi="Times New Roman" w:cs="Times New Roman"/>
          <w:sz w:val="24"/>
          <w:szCs w:val="24"/>
        </w:rPr>
        <w:drawing>
          <wp:inline distT="0" distB="0" distL="114300" distR="114300">
            <wp:extent cx="4163695" cy="4679950"/>
            <wp:effectExtent l="0" t="0" r="8255" b="635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6"/>
                    <a:stretch>
                      <a:fillRect/>
                    </a:stretch>
                  </pic:blipFill>
                  <pic:spPr>
                    <a:xfrm>
                      <a:off x="0" y="0"/>
                      <a:ext cx="4164021" cy="4680000"/>
                    </a:xfrm>
                    <a:prstGeom prst="rect">
                      <a:avLst/>
                    </a:prstGeom>
                    <a:noFill/>
                    <a:ln>
                      <a:noFill/>
                    </a:ln>
                  </pic:spPr>
                </pic:pic>
              </a:graphicData>
            </a:graphic>
          </wp:inline>
        </w:drawing>
      </w:r>
    </w:p>
    <w:p>
      <w:pPr>
        <w:spacing w:after="217" w:afterLines="50" w:line="240" w:lineRule="auto"/>
        <w:ind w:firstLine="0" w:firstLineChars="0"/>
        <w:jc w:val="center"/>
        <w:rPr>
          <w:rFonts w:ascii="Times New Roman" w:hAnsi="Times New Roman" w:cs="Times New Roman"/>
          <w:b/>
          <w:bCs/>
          <w:szCs w:val="28"/>
        </w:rPr>
      </w:pPr>
    </w:p>
    <w:p>
      <w:pPr>
        <w:spacing w:after="217" w:afterLines="50" w:line="240" w:lineRule="auto"/>
        <w:ind w:firstLine="0" w:firstLineChars="0"/>
        <w:jc w:val="center"/>
        <w:rPr>
          <w:rFonts w:ascii="Times New Roman" w:hAnsi="Times New Roman" w:cs="Times New Roman"/>
          <w:b/>
          <w:bCs/>
          <w:szCs w:val="28"/>
        </w:rPr>
      </w:pPr>
    </w:p>
    <w:p>
      <w:pPr>
        <w:spacing w:after="217" w:afterLines="50" w:line="240" w:lineRule="auto"/>
        <w:ind w:firstLine="0" w:firstLineChars="0"/>
        <w:rPr>
          <w:rFonts w:ascii="Times New Roman" w:hAnsi="Times New Roman" w:cs="Times New Roman"/>
          <w:b/>
          <w:bCs/>
          <w:szCs w:val="28"/>
        </w:rPr>
      </w:pPr>
      <w:r>
        <w:rPr>
          <w:rFonts w:ascii="Times New Roman" w:hAnsi="Times New Roman" w:cs="Times New Roman"/>
          <w:sz w:val="24"/>
          <w:szCs w:val="24"/>
        </w:rPr>
        <w:drawing>
          <wp:anchor distT="0" distB="0" distL="114300" distR="114300" simplePos="0" relativeHeight="251662336" behindDoc="0" locked="0" layoutInCell="1" allowOverlap="1">
            <wp:simplePos x="0" y="0"/>
            <wp:positionH relativeFrom="column">
              <wp:posOffset>4481830</wp:posOffset>
            </wp:positionH>
            <wp:positionV relativeFrom="paragraph">
              <wp:posOffset>64135</wp:posOffset>
            </wp:positionV>
            <wp:extent cx="3663315" cy="4670425"/>
            <wp:effectExtent l="19050" t="19050" r="13970" b="15875"/>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667864" cy="4676491"/>
                    </a:xfrm>
                    <a:prstGeom prst="rect">
                      <a:avLst/>
                    </a:prstGeom>
                    <a:noFill/>
                    <a:ln w="9525" cmpd="sng">
                      <a:solidFill>
                        <a:srgbClr val="4F81BD"/>
                      </a:solidFill>
                      <a:miter lim="800000"/>
                      <a:headEnd/>
                      <a:tailEnd/>
                    </a:ln>
                    <a:effectLst/>
                  </pic:spPr>
                </pic:pic>
              </a:graphicData>
            </a:graphic>
          </wp:anchor>
        </w:drawing>
      </w:r>
      <w:r>
        <w:rPr>
          <w:rFonts w:ascii="Times New Roman" w:hAnsi="Times New Roman" w:cs="Times New Roman"/>
          <w:szCs w:val="28"/>
        </w:rPr>
        <w:drawing>
          <wp:anchor distT="0" distB="0" distL="114300" distR="114300" simplePos="0" relativeHeight="251663360" behindDoc="0" locked="0" layoutInCell="1" allowOverlap="1">
            <wp:simplePos x="0" y="0"/>
            <wp:positionH relativeFrom="margin">
              <wp:posOffset>652780</wp:posOffset>
            </wp:positionH>
            <wp:positionV relativeFrom="paragraph">
              <wp:posOffset>65405</wp:posOffset>
            </wp:positionV>
            <wp:extent cx="3649345" cy="4679950"/>
            <wp:effectExtent l="19050" t="19050" r="27940" b="2540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649061" cy="4680000"/>
                    </a:xfrm>
                    <a:prstGeom prst="rect">
                      <a:avLst/>
                    </a:prstGeom>
                    <a:noFill/>
                    <a:ln w="9525" cmpd="sng">
                      <a:solidFill>
                        <a:srgbClr val="4F81BD"/>
                      </a:solidFill>
                      <a:miter lim="800000"/>
                      <a:headEnd/>
                      <a:tailEnd/>
                    </a:ln>
                    <a:effectLst/>
                  </pic:spPr>
                </pic:pic>
              </a:graphicData>
            </a:graphic>
          </wp:anchor>
        </w:drawing>
      </w:r>
    </w:p>
    <w:p>
      <w:pPr>
        <w:spacing w:line="240" w:lineRule="auto"/>
        <w:ind w:firstLine="0" w:firstLineChars="0"/>
        <w:jc w:val="center"/>
        <w:rPr>
          <w:rFonts w:ascii="Times New Roman" w:hAnsi="Times New Roman" w:cs="Times New Roman"/>
          <w:sz w:val="24"/>
          <w:szCs w:val="24"/>
          <w:highlight w:val="yellow"/>
        </w:rPr>
      </w:pPr>
    </w:p>
    <w:p>
      <w:pPr>
        <w:spacing w:line="440" w:lineRule="exact"/>
        <w:ind w:firstLine="0" w:firstLineChars="0"/>
        <w:jc w:val="center"/>
        <w:rPr>
          <w:rFonts w:ascii="Times New Roman" w:hAnsi="Times New Roman" w:cs="Times New Roman"/>
          <w:b/>
          <w:bCs/>
          <w:szCs w:val="28"/>
        </w:rPr>
      </w:pPr>
    </w:p>
    <w:p>
      <w:pPr>
        <w:spacing w:line="440" w:lineRule="exact"/>
        <w:ind w:firstLine="0" w:firstLineChars="0"/>
        <w:jc w:val="center"/>
        <w:rPr>
          <w:rFonts w:ascii="Times New Roman" w:hAnsi="Times New Roman" w:cs="Times New Roman"/>
          <w:b/>
          <w:bCs/>
          <w:szCs w:val="28"/>
        </w:rPr>
      </w:pPr>
    </w:p>
    <w:p>
      <w:pPr>
        <w:spacing w:line="240" w:lineRule="auto"/>
        <w:ind w:firstLine="0" w:firstLineChars="0"/>
        <w:rPr>
          <w:rFonts w:ascii="Times New Roman" w:hAnsi="Times New Roman" w:cs="Times New Roman"/>
          <w:b/>
          <w:bCs/>
          <w:szCs w:val="28"/>
        </w:rPr>
      </w:pPr>
    </w:p>
    <w:p>
      <w:pPr>
        <w:spacing w:line="240" w:lineRule="auto"/>
        <w:ind w:firstLine="0" w:firstLineChars="0"/>
        <w:rPr>
          <w:rFonts w:ascii="Times New Roman" w:hAnsi="Times New Roman" w:cs="Times New Roman"/>
          <w:b/>
          <w:bCs/>
          <w:szCs w:val="28"/>
        </w:rPr>
        <w:sectPr>
          <w:pgSz w:w="16838" w:h="11906" w:orient="landscape"/>
          <w:pgMar w:top="1800" w:right="1440" w:bottom="1800" w:left="1440" w:header="851" w:footer="992" w:gutter="0"/>
          <w:cols w:space="425" w:num="1"/>
          <w:docGrid w:type="lines" w:linePitch="435" w:charSpace="0"/>
        </w:sectPr>
      </w:pPr>
    </w:p>
    <w:p>
      <w:pPr>
        <w:spacing w:line="440" w:lineRule="exact"/>
        <w:ind w:firstLine="0" w:firstLineChars="0"/>
        <w:jc w:val="center"/>
        <w:rPr>
          <w:rFonts w:ascii="Times New Roman" w:hAnsi="Times New Roman" w:cs="Times New Roman"/>
          <w:b/>
          <w:bCs/>
          <w:szCs w:val="28"/>
        </w:rPr>
      </w:pPr>
    </w:p>
    <w:p>
      <w:pPr>
        <w:spacing w:line="240" w:lineRule="auto"/>
        <w:ind w:firstLine="0" w:firstLineChars="0"/>
        <w:jc w:val="center"/>
        <w:rPr>
          <w:rFonts w:ascii="Times New Roman" w:hAnsi="Times New Roman" w:cs="Times New Roman"/>
          <w:sz w:val="24"/>
          <w:szCs w:val="24"/>
          <w:highlight w:val="yellow"/>
        </w:rPr>
      </w:pPr>
      <w:r>
        <w:rPr>
          <w:rFonts w:ascii="Times New Roman" w:hAnsi="Times New Roman" w:cs="Times New Roman"/>
          <w:sz w:val="21"/>
          <w:szCs w:val="24"/>
        </w:rPr>
        <w:drawing>
          <wp:anchor distT="0" distB="0" distL="114300" distR="114300" simplePos="0" relativeHeight="251665408" behindDoc="0" locked="0" layoutInCell="1" allowOverlap="1">
            <wp:simplePos x="0" y="0"/>
            <wp:positionH relativeFrom="margin">
              <wp:posOffset>4572635</wp:posOffset>
            </wp:positionH>
            <wp:positionV relativeFrom="paragraph">
              <wp:posOffset>135255</wp:posOffset>
            </wp:positionV>
            <wp:extent cx="3604895" cy="4669790"/>
            <wp:effectExtent l="19050" t="19050" r="14605" b="1651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611243" cy="4678039"/>
                    </a:xfrm>
                    <a:prstGeom prst="rect">
                      <a:avLst/>
                    </a:prstGeom>
                    <a:noFill/>
                    <a:ln w="9525" cmpd="sng">
                      <a:solidFill>
                        <a:srgbClr val="4F81BD"/>
                      </a:solidFill>
                      <a:miter lim="800000"/>
                      <a:headEnd/>
                      <a:tailEnd/>
                    </a:ln>
                    <a:effectLst/>
                  </pic:spPr>
                </pic:pic>
              </a:graphicData>
            </a:graphic>
          </wp:anchor>
        </w:drawing>
      </w:r>
      <w:r>
        <w:rPr>
          <w:rFonts w:ascii="Times New Roman" w:hAnsi="Times New Roman" w:cs="Times New Roman"/>
          <w:sz w:val="24"/>
          <w:szCs w:val="24"/>
        </w:rPr>
        <w:drawing>
          <wp:anchor distT="0" distB="0" distL="114300" distR="114300" simplePos="0" relativeHeight="251664384" behindDoc="0" locked="0" layoutInCell="1" allowOverlap="1">
            <wp:simplePos x="0" y="0"/>
            <wp:positionH relativeFrom="column">
              <wp:posOffset>714375</wp:posOffset>
            </wp:positionH>
            <wp:positionV relativeFrom="paragraph">
              <wp:posOffset>131445</wp:posOffset>
            </wp:positionV>
            <wp:extent cx="3693795" cy="4679950"/>
            <wp:effectExtent l="19050" t="19050" r="20955" b="2540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693899" cy="4680000"/>
                    </a:xfrm>
                    <a:prstGeom prst="rect">
                      <a:avLst/>
                    </a:prstGeom>
                    <a:noFill/>
                    <a:ln w="9525" cmpd="sng">
                      <a:solidFill>
                        <a:srgbClr val="4F81BD"/>
                      </a:solidFill>
                      <a:miter lim="800000"/>
                      <a:headEnd/>
                      <a:tailEnd/>
                    </a:ln>
                    <a:effectLst/>
                  </pic:spPr>
                </pic:pic>
              </a:graphicData>
            </a:graphic>
          </wp:anchor>
        </w:drawing>
      </w:r>
    </w:p>
    <w:p>
      <w:pPr>
        <w:spacing w:line="240" w:lineRule="auto"/>
        <w:ind w:firstLine="0" w:firstLineChars="0"/>
        <w:jc w:val="center"/>
        <w:rPr>
          <w:rFonts w:ascii="Times New Roman" w:hAnsi="Times New Roman" w:cs="Times New Roman"/>
          <w:sz w:val="24"/>
          <w:szCs w:val="24"/>
          <w:highlight w:val="yellow"/>
        </w:rPr>
      </w:pPr>
    </w:p>
    <w:p>
      <w:pPr>
        <w:spacing w:line="240" w:lineRule="auto"/>
        <w:ind w:firstLine="0" w:firstLineChars="0"/>
        <w:rPr>
          <w:rFonts w:ascii="Times New Roman" w:hAnsi="Times New Roman" w:cs="Times New Roman"/>
          <w:sz w:val="24"/>
          <w:szCs w:val="24"/>
          <w:highlight w:val="yellow"/>
        </w:rPr>
      </w:pPr>
    </w:p>
    <w:p>
      <w:pPr>
        <w:spacing w:line="240" w:lineRule="auto"/>
        <w:ind w:firstLine="0" w:firstLineChars="0"/>
        <w:rPr>
          <w:rFonts w:ascii="Times New Roman" w:hAnsi="Times New Roman" w:cs="Times New Roman"/>
          <w:b/>
          <w:bCs/>
          <w:szCs w:val="28"/>
        </w:rPr>
        <w:sectPr>
          <w:pgSz w:w="16838" w:h="11906" w:orient="landscape"/>
          <w:pgMar w:top="1800" w:right="1440" w:bottom="1800" w:left="1440" w:header="851" w:footer="992" w:gutter="0"/>
          <w:cols w:space="425" w:num="1"/>
          <w:docGrid w:type="lines" w:linePitch="435" w:charSpace="0"/>
        </w:sectPr>
      </w:pPr>
    </w:p>
    <w:p>
      <w:pPr>
        <w:spacing w:line="240" w:lineRule="auto"/>
        <w:ind w:firstLine="0" w:firstLineChars="0"/>
        <w:jc w:val="center"/>
        <w:rPr>
          <w:rFonts w:ascii="Times New Roman" w:hAnsi="Times New Roman" w:cs="Times New Roman"/>
          <w:szCs w:val="28"/>
          <w:highlight w:val="yellow"/>
        </w:rPr>
      </w:pPr>
    </w:p>
    <w:p>
      <w:pPr>
        <w:spacing w:line="240" w:lineRule="auto"/>
        <w:ind w:firstLine="0" w:firstLineChars="0"/>
        <w:jc w:val="center"/>
        <w:rPr>
          <w:rFonts w:ascii="Times New Roman" w:hAnsi="Times New Roman" w:cs="Times New Roman"/>
          <w:sz w:val="24"/>
          <w:szCs w:val="24"/>
          <w:highlight w:val="yellow"/>
        </w:rPr>
      </w:pPr>
      <w:r>
        <w:rPr>
          <w:rFonts w:ascii="Times New Roman" w:hAnsi="Times New Roman" w:cs="Times New Roman"/>
          <w:sz w:val="24"/>
          <w:szCs w:val="24"/>
          <w:bdr w:val="single" w:color="548DD4" w:sz="4" w:space="0"/>
        </w:rPr>
        <w:drawing>
          <wp:inline distT="0" distB="0" distL="0" distR="0">
            <wp:extent cx="7503795" cy="4679950"/>
            <wp:effectExtent l="19050" t="19050" r="20955" b="2540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7504062" cy="4680000"/>
                    </a:xfrm>
                    <a:prstGeom prst="rect">
                      <a:avLst/>
                    </a:prstGeom>
                    <a:noFill/>
                    <a:ln w="6350" cmpd="sng">
                      <a:solidFill>
                        <a:srgbClr val="44546A">
                          <a:lumMod val="60000"/>
                          <a:lumOff val="40000"/>
                        </a:srgbClr>
                      </a:solidFill>
                      <a:miter lim="800000"/>
                      <a:headEnd/>
                      <a:tailEnd/>
                    </a:ln>
                    <a:effectLst/>
                  </pic:spPr>
                </pic:pic>
              </a:graphicData>
            </a:graphic>
          </wp:inline>
        </w:drawing>
      </w:r>
    </w:p>
    <w:p>
      <w:pPr>
        <w:spacing w:line="240" w:lineRule="auto"/>
        <w:ind w:firstLine="0" w:firstLineChars="0"/>
        <w:rPr>
          <w:rFonts w:ascii="Times New Roman" w:hAnsi="Times New Roman" w:cs="Times New Roman"/>
          <w:b/>
          <w:bCs/>
          <w:szCs w:val="28"/>
        </w:rPr>
        <w:sectPr>
          <w:pgSz w:w="16838" w:h="11906" w:orient="landscape"/>
          <w:pgMar w:top="1800" w:right="1440" w:bottom="1800" w:left="1440" w:header="851" w:footer="992" w:gutter="0"/>
          <w:cols w:space="425" w:num="1"/>
          <w:docGrid w:type="lines" w:linePitch="435" w:charSpace="0"/>
        </w:sectPr>
      </w:pPr>
    </w:p>
    <w:p>
      <w:pPr>
        <w:spacing w:line="240" w:lineRule="auto"/>
        <w:ind w:firstLine="0" w:firstLineChars="0"/>
        <w:rPr>
          <w:rFonts w:ascii="Times New Roman" w:hAnsi="Times New Roman" w:cs="Times New Roman"/>
          <w:b/>
          <w:bCs/>
          <w:szCs w:val="28"/>
        </w:rPr>
      </w:pPr>
    </w:p>
    <w:p>
      <w:pPr>
        <w:spacing w:line="240" w:lineRule="auto"/>
        <w:ind w:firstLine="0" w:firstLineChars="0"/>
        <w:jc w:val="center"/>
        <w:rPr>
          <w:rFonts w:ascii="Times New Roman" w:hAnsi="Times New Roman" w:cs="Times New Roman"/>
          <w:sz w:val="21"/>
          <w:szCs w:val="21"/>
          <w:highlight w:val="yellow"/>
        </w:rPr>
      </w:pPr>
      <w:r>
        <w:rPr>
          <w:rFonts w:ascii="Times New Roman" w:hAnsi="Times New Roman" w:cs="Times New Roman"/>
          <w:sz w:val="21"/>
          <w:szCs w:val="21"/>
        </w:rPr>
        <w:drawing>
          <wp:inline distT="0" distB="0" distL="0" distR="0">
            <wp:extent cx="3504565" cy="4679950"/>
            <wp:effectExtent l="19050" t="19050" r="19685" b="2540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505049" cy="4680000"/>
                    </a:xfrm>
                    <a:prstGeom prst="rect">
                      <a:avLst/>
                    </a:prstGeom>
                    <a:noFill/>
                    <a:ln w="9525" cmpd="sng">
                      <a:solidFill>
                        <a:srgbClr val="4F81BD"/>
                      </a:solidFill>
                      <a:miter lim="800000"/>
                      <a:headEnd/>
                      <a:tailEnd/>
                    </a:ln>
                    <a:effectLst/>
                  </pic:spPr>
                </pic:pic>
              </a:graphicData>
            </a:graphic>
          </wp:inline>
        </w:drawing>
      </w:r>
    </w:p>
    <w:p>
      <w:pPr>
        <w:spacing w:line="240" w:lineRule="auto"/>
        <w:ind w:firstLine="0" w:firstLineChars="0"/>
        <w:jc w:val="center"/>
        <w:rPr>
          <w:rFonts w:ascii="Times New Roman" w:hAnsi="Times New Roman" w:cs="Times New Roman"/>
          <w:sz w:val="21"/>
          <w:szCs w:val="21"/>
          <w:highlight w:val="yellow"/>
        </w:rPr>
      </w:pPr>
    </w:p>
    <w:p>
      <w:pPr>
        <w:spacing w:line="240" w:lineRule="auto"/>
        <w:ind w:firstLine="0" w:firstLineChars="0"/>
        <w:jc w:val="center"/>
        <w:rPr>
          <w:rFonts w:ascii="Times New Roman" w:hAnsi="Times New Roman" w:cs="Times New Roman"/>
          <w:sz w:val="21"/>
          <w:szCs w:val="21"/>
          <w:highlight w:val="yellow"/>
        </w:rPr>
      </w:pPr>
      <w:r>
        <w:rPr>
          <w:rFonts w:ascii="Times New Roman" w:hAnsi="Times New Roman" w:cs="Times New Roman"/>
          <w:sz w:val="24"/>
          <w:szCs w:val="24"/>
        </w:rPr>
        <w:drawing>
          <wp:anchor distT="0" distB="0" distL="114300" distR="114300" simplePos="0" relativeHeight="251660288" behindDoc="0" locked="0" layoutInCell="1" allowOverlap="1">
            <wp:simplePos x="0" y="0"/>
            <wp:positionH relativeFrom="column">
              <wp:posOffset>4608195</wp:posOffset>
            </wp:positionH>
            <wp:positionV relativeFrom="paragraph">
              <wp:posOffset>91440</wp:posOffset>
            </wp:positionV>
            <wp:extent cx="3592195" cy="4671695"/>
            <wp:effectExtent l="19050" t="19050" r="27940" b="1524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592165" cy="4671550"/>
                    </a:xfrm>
                    <a:prstGeom prst="rect">
                      <a:avLst/>
                    </a:prstGeom>
                    <a:noFill/>
                    <a:ln w="9525" cmpd="sng">
                      <a:solidFill>
                        <a:srgbClr val="4F81BD"/>
                      </a:solidFill>
                      <a:miter lim="800000"/>
                      <a:headEnd/>
                      <a:tailEnd/>
                    </a:ln>
                    <a:effectLst/>
                  </pic:spPr>
                </pic:pic>
              </a:graphicData>
            </a:graphic>
          </wp:anchor>
        </w:drawing>
      </w:r>
      <w:r>
        <w:rPr>
          <w:rFonts w:ascii="Times New Roman" w:hAnsi="Times New Roman" w:cs="Times New Roman"/>
          <w:sz w:val="24"/>
          <w:szCs w:val="24"/>
        </w:rPr>
        <w:drawing>
          <wp:anchor distT="0" distB="0" distL="114300" distR="114300" simplePos="0" relativeHeight="251661312" behindDoc="0" locked="0" layoutInCell="1" allowOverlap="1">
            <wp:simplePos x="0" y="0"/>
            <wp:positionH relativeFrom="column">
              <wp:posOffset>786130</wp:posOffset>
            </wp:positionH>
            <wp:positionV relativeFrom="paragraph">
              <wp:posOffset>93345</wp:posOffset>
            </wp:positionV>
            <wp:extent cx="3623310" cy="4679950"/>
            <wp:effectExtent l="19050" t="19050" r="15240" b="2540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623388" cy="4680000"/>
                    </a:xfrm>
                    <a:prstGeom prst="rect">
                      <a:avLst/>
                    </a:prstGeom>
                    <a:noFill/>
                    <a:ln w="9525" cmpd="sng">
                      <a:solidFill>
                        <a:srgbClr val="4F81BD"/>
                      </a:solidFill>
                      <a:miter lim="800000"/>
                      <a:headEnd/>
                      <a:tailEnd/>
                    </a:ln>
                    <a:effectLst/>
                  </pic:spPr>
                </pic:pic>
              </a:graphicData>
            </a:graphic>
          </wp:anchor>
        </w:drawing>
      </w:r>
    </w:p>
    <w:p>
      <w:pPr>
        <w:spacing w:line="240" w:lineRule="auto"/>
        <w:ind w:firstLine="0" w:firstLineChars="0"/>
        <w:rPr>
          <w:rFonts w:ascii="Times New Roman" w:hAnsi="Times New Roman" w:cs="Times New Roman"/>
          <w:sz w:val="21"/>
          <w:szCs w:val="21"/>
          <w:highlight w:val="yellow"/>
        </w:rPr>
      </w:pPr>
    </w:p>
    <w:p>
      <w:pPr>
        <w:spacing w:line="240" w:lineRule="auto"/>
        <w:ind w:firstLine="0" w:firstLineChars="0"/>
        <w:rPr>
          <w:rFonts w:ascii="Times New Roman" w:hAnsi="Times New Roman" w:cs="Times New Roman"/>
          <w:sz w:val="21"/>
          <w:szCs w:val="21"/>
          <w:highlight w:val="yellow"/>
        </w:rPr>
      </w:pPr>
    </w:p>
    <w:p>
      <w:pPr>
        <w:spacing w:line="240" w:lineRule="auto"/>
        <w:ind w:firstLine="0" w:firstLineChars="0"/>
        <w:jc w:val="left"/>
        <w:rPr>
          <w:rFonts w:ascii="Times New Roman" w:hAnsi="Times New Roman" w:cs="Times New Roman"/>
          <w:sz w:val="24"/>
          <w:szCs w:val="24"/>
        </w:rPr>
      </w:pPr>
    </w:p>
    <w:p>
      <w:pPr>
        <w:spacing w:line="240" w:lineRule="auto"/>
        <w:ind w:firstLine="0" w:firstLineChars="0"/>
        <w:jc w:val="center"/>
        <w:rPr>
          <w:rFonts w:ascii="Times New Roman" w:hAnsi="Times New Roman" w:cs="Times New Roman"/>
          <w:b/>
          <w:bCs/>
          <w:szCs w:val="28"/>
        </w:rPr>
      </w:pPr>
    </w:p>
    <w:p>
      <w:pPr>
        <w:spacing w:line="240" w:lineRule="auto"/>
        <w:ind w:firstLine="0" w:firstLineChars="0"/>
        <w:jc w:val="center"/>
        <w:rPr>
          <w:rFonts w:ascii="Times New Roman" w:hAnsi="Times New Roman" w:cs="Times New Roman"/>
          <w:b/>
          <w:bCs/>
          <w:szCs w:val="28"/>
        </w:rPr>
      </w:pPr>
    </w:p>
    <w:p>
      <w:pPr>
        <w:spacing w:line="240" w:lineRule="auto"/>
        <w:ind w:firstLine="0" w:firstLineChars="0"/>
        <w:jc w:val="center"/>
        <w:rPr>
          <w:rFonts w:ascii="Times New Roman" w:hAnsi="Times New Roman" w:cs="Times New Roman"/>
          <w:b/>
          <w:bCs/>
          <w:szCs w:val="28"/>
        </w:rPr>
      </w:pPr>
    </w:p>
    <w:p>
      <w:pPr>
        <w:spacing w:line="240" w:lineRule="auto"/>
        <w:ind w:firstLine="0" w:firstLineChars="0"/>
        <w:jc w:val="center"/>
        <w:rPr>
          <w:rFonts w:ascii="Times New Roman" w:hAnsi="Times New Roman" w:cs="Times New Roman"/>
          <w:b/>
          <w:bCs/>
          <w:szCs w:val="28"/>
        </w:rPr>
      </w:pPr>
    </w:p>
    <w:p>
      <w:pPr>
        <w:spacing w:line="240" w:lineRule="auto"/>
        <w:ind w:firstLine="0" w:firstLineChars="0"/>
        <w:jc w:val="center"/>
        <w:rPr>
          <w:rFonts w:ascii="Times New Roman" w:hAnsi="Times New Roman" w:cs="Times New Roman"/>
          <w:b/>
          <w:bCs/>
          <w:szCs w:val="28"/>
        </w:rPr>
      </w:pPr>
    </w:p>
    <w:p>
      <w:pPr>
        <w:spacing w:line="240" w:lineRule="auto"/>
        <w:ind w:firstLine="0" w:firstLineChars="0"/>
        <w:jc w:val="center"/>
        <w:rPr>
          <w:rFonts w:ascii="Times New Roman" w:hAnsi="Times New Roman" w:cs="Times New Roman"/>
          <w:b/>
          <w:bCs/>
          <w:szCs w:val="28"/>
        </w:rPr>
      </w:pPr>
    </w:p>
    <w:p>
      <w:pPr>
        <w:spacing w:line="240" w:lineRule="auto"/>
        <w:ind w:firstLine="0" w:firstLineChars="0"/>
        <w:jc w:val="center"/>
        <w:rPr>
          <w:rFonts w:ascii="Times New Roman" w:hAnsi="Times New Roman" w:cs="Times New Roman"/>
          <w:b/>
          <w:bCs/>
          <w:szCs w:val="28"/>
        </w:rPr>
      </w:pPr>
    </w:p>
    <w:p>
      <w:pPr>
        <w:spacing w:line="240" w:lineRule="auto"/>
        <w:ind w:firstLine="0" w:firstLineChars="0"/>
        <w:jc w:val="center"/>
        <w:rPr>
          <w:rFonts w:ascii="Times New Roman" w:hAnsi="Times New Roman" w:cs="Times New Roman"/>
          <w:b/>
          <w:bCs/>
          <w:szCs w:val="28"/>
        </w:rPr>
      </w:pPr>
    </w:p>
    <w:p>
      <w:pPr>
        <w:spacing w:line="240" w:lineRule="auto"/>
        <w:ind w:firstLine="0" w:firstLineChars="0"/>
        <w:jc w:val="center"/>
        <w:rPr>
          <w:rFonts w:ascii="Times New Roman" w:hAnsi="Times New Roman" w:cs="Times New Roman"/>
          <w:b/>
          <w:bCs/>
          <w:szCs w:val="28"/>
        </w:rPr>
      </w:pPr>
    </w:p>
    <w:p>
      <w:pPr>
        <w:spacing w:line="240" w:lineRule="auto"/>
        <w:ind w:firstLine="0" w:firstLineChars="0"/>
        <w:jc w:val="center"/>
        <w:rPr>
          <w:rFonts w:ascii="Times New Roman" w:hAnsi="Times New Roman" w:cs="Times New Roman"/>
          <w:b/>
          <w:bCs/>
          <w:szCs w:val="28"/>
        </w:rPr>
      </w:pPr>
    </w:p>
    <w:p>
      <w:pPr>
        <w:spacing w:line="240" w:lineRule="auto"/>
        <w:ind w:firstLine="0" w:firstLineChars="0"/>
        <w:jc w:val="center"/>
        <w:rPr>
          <w:rFonts w:ascii="Times New Roman" w:hAnsi="Times New Roman" w:cs="Times New Roman"/>
          <w:b/>
          <w:bCs/>
          <w:szCs w:val="28"/>
        </w:rPr>
      </w:pPr>
    </w:p>
    <w:p>
      <w:pPr>
        <w:spacing w:line="240" w:lineRule="auto"/>
        <w:ind w:firstLine="0" w:firstLineChars="0"/>
        <w:rPr>
          <w:rFonts w:ascii="Times New Roman" w:hAnsi="Times New Roman" w:cs="Times New Roman"/>
          <w:b/>
          <w:bCs/>
          <w:szCs w:val="28"/>
        </w:rPr>
      </w:pPr>
    </w:p>
    <w:p>
      <w:pPr>
        <w:ind w:firstLine="0" w:firstLineChars="0"/>
        <w:rPr>
          <w:rFonts w:ascii="Times New Roman" w:hAnsi="Times New Roman" w:cs="Times New Roman"/>
          <w:b/>
          <w:bCs/>
          <w:szCs w:val="28"/>
        </w:rPr>
      </w:pPr>
    </w:p>
    <w:p>
      <w:pPr>
        <w:pStyle w:val="2"/>
        <w:ind w:firstLine="0" w:firstLineChars="0"/>
        <w:rPr>
          <w:lang w:eastAsia="zh-CN"/>
        </w:rPr>
        <w:sectPr>
          <w:pgSz w:w="16838" w:h="11906" w:orient="landscape"/>
          <w:pgMar w:top="1800" w:right="1440" w:bottom="1800" w:left="1440" w:header="851" w:footer="992" w:gutter="0"/>
          <w:cols w:space="425" w:num="1"/>
          <w:docGrid w:type="lines" w:linePitch="435" w:charSpace="0"/>
        </w:sectPr>
      </w:pPr>
    </w:p>
    <w:p>
      <w:pPr>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3520440" cy="4679950"/>
            <wp:effectExtent l="19050" t="19050" r="22860" b="2540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520559" cy="4680000"/>
                    </a:xfrm>
                    <a:prstGeom prst="rect">
                      <a:avLst/>
                    </a:prstGeom>
                    <a:noFill/>
                    <a:ln w="9525" cmpd="sng">
                      <a:solidFill>
                        <a:srgbClr val="4F81BD"/>
                      </a:solidFill>
                      <a:miter lim="800000"/>
                      <a:headEnd/>
                      <a:tailEnd/>
                    </a:ln>
                    <a:effectLst/>
                  </pic:spPr>
                </pic:pic>
              </a:graphicData>
            </a:graphic>
          </wp:inline>
        </w:drawing>
      </w:r>
    </w:p>
    <w:p>
      <w:pPr>
        <w:spacing w:line="240" w:lineRule="auto"/>
        <w:ind w:firstLine="0" w:firstLineChars="0"/>
        <w:jc w:val="center"/>
        <w:rPr>
          <w:rFonts w:ascii="Times New Roman" w:hAnsi="Times New Roman" w:cs="Times New Roman"/>
          <w:sz w:val="24"/>
          <w:szCs w:val="24"/>
        </w:rPr>
      </w:pPr>
    </w:p>
    <w:p>
      <w:pPr>
        <w:spacing w:line="240" w:lineRule="auto"/>
        <w:ind w:firstLine="0" w:firstLineChars="0"/>
        <w:rPr>
          <w:rFonts w:ascii="Times New Roman" w:hAnsi="Times New Roman" w:cs="Times New Roman"/>
          <w:b/>
          <w:bCs/>
          <w:szCs w:val="28"/>
        </w:rPr>
        <w:sectPr>
          <w:pgSz w:w="16838" w:h="11906" w:orient="landscape"/>
          <w:pgMar w:top="1800" w:right="1440" w:bottom="1800" w:left="1440" w:header="851" w:footer="992" w:gutter="0"/>
          <w:cols w:space="425" w:num="1"/>
          <w:docGrid w:type="lines" w:linePitch="435" w:charSpace="0"/>
        </w:sectPr>
      </w:pPr>
    </w:p>
    <w:p>
      <w:pPr>
        <w:spacing w:line="240" w:lineRule="auto"/>
        <w:ind w:firstLine="0" w:firstLineChars="0"/>
        <w:jc w:val="center"/>
        <w:rPr>
          <w:rFonts w:ascii="Times New Roman" w:hAnsi="Times New Roman" w:cs="Times New Roman"/>
          <w:sz w:val="24"/>
          <w:szCs w:val="24"/>
          <w:highlight w:val="yellow"/>
        </w:rPr>
      </w:pPr>
    </w:p>
    <w:p>
      <w:pPr>
        <w:spacing w:line="240" w:lineRule="auto"/>
        <w:ind w:firstLine="0" w:firstLineChars="0"/>
        <w:jc w:val="center"/>
        <w:rPr>
          <w:rFonts w:ascii="Times New Roman" w:hAnsi="Times New Roman" w:cs="Times New Roman"/>
          <w:b/>
          <w:bCs/>
          <w:szCs w:val="28"/>
        </w:rPr>
      </w:pPr>
      <w:r>
        <w:rPr>
          <w:rFonts w:ascii="Times New Roman" w:hAnsi="Times New Roman" w:cs="Times New Roman"/>
          <w:sz w:val="24"/>
          <w:szCs w:val="24"/>
        </w:rPr>
        <w:drawing>
          <wp:inline distT="0" distB="0" distL="114300" distR="114300">
            <wp:extent cx="3522345" cy="4679950"/>
            <wp:effectExtent l="0" t="0" r="1905" b="6350"/>
            <wp:docPr id="1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
                    <pic:cNvPicPr>
                      <a:picLocks noChangeAspect="1"/>
                    </pic:cNvPicPr>
                  </pic:nvPicPr>
                  <pic:blipFill>
                    <a:blip r:embed="rId35"/>
                    <a:stretch>
                      <a:fillRect/>
                    </a:stretch>
                  </pic:blipFill>
                  <pic:spPr>
                    <a:xfrm>
                      <a:off x="0" y="0"/>
                      <a:ext cx="3522643" cy="4680000"/>
                    </a:xfrm>
                    <a:prstGeom prst="rect">
                      <a:avLst/>
                    </a:prstGeom>
                    <a:noFill/>
                    <a:ln>
                      <a:noFill/>
                    </a:ln>
                  </pic:spPr>
                </pic:pic>
              </a:graphicData>
            </a:graphic>
          </wp:inline>
        </w:drawing>
      </w:r>
    </w:p>
    <w:p>
      <w:pPr>
        <w:spacing w:line="240" w:lineRule="auto"/>
        <w:ind w:firstLine="0" w:firstLineChars="0"/>
        <w:rPr>
          <w:rFonts w:ascii="Times New Roman" w:hAnsi="Times New Roman" w:cs="Times New Roman"/>
          <w:b/>
          <w:bCs/>
          <w:szCs w:val="28"/>
        </w:rPr>
      </w:pPr>
    </w:p>
    <w:p>
      <w:pPr>
        <w:spacing w:line="240" w:lineRule="auto"/>
        <w:ind w:firstLine="0" w:firstLineChars="0"/>
        <w:rPr>
          <w:rFonts w:ascii="Times New Roman" w:hAnsi="Times New Roman" w:cs="Times New Roman"/>
          <w:b/>
          <w:bCs/>
          <w:szCs w:val="28"/>
        </w:rPr>
        <w:sectPr>
          <w:pgSz w:w="16838" w:h="11906" w:orient="landscape"/>
          <w:pgMar w:top="1800" w:right="1440" w:bottom="1800" w:left="1440" w:header="851" w:footer="992" w:gutter="0"/>
          <w:cols w:space="425" w:num="1"/>
          <w:docGrid w:type="lines" w:linePitch="435" w:charSpace="0"/>
        </w:sectPr>
      </w:pPr>
    </w:p>
    <w:p>
      <w:pPr>
        <w:spacing w:line="240" w:lineRule="auto"/>
        <w:ind w:firstLine="0" w:firstLineChars="0"/>
        <w:jc w:val="center"/>
        <w:rPr>
          <w:rFonts w:ascii="Times New Roman" w:hAnsi="Times New Roman" w:cs="Times New Roman"/>
          <w:sz w:val="24"/>
          <w:szCs w:val="24"/>
          <w:highlight w:val="yellow"/>
        </w:rPr>
      </w:pPr>
    </w:p>
    <w:p>
      <w:pPr>
        <w:spacing w:line="240" w:lineRule="auto"/>
        <w:ind w:firstLine="0" w:firstLineChars="0"/>
        <w:jc w:val="center"/>
        <w:rPr>
          <w:rFonts w:ascii="Times New Roman" w:hAnsi="Times New Roman" w:cs="Times New Roman"/>
          <w:sz w:val="24"/>
          <w:szCs w:val="24"/>
          <w:highlight w:val="yellow"/>
        </w:rPr>
      </w:pPr>
      <w:r>
        <w:rPr>
          <w:rFonts w:ascii="Times New Roman" w:hAnsi="Times New Roman" w:cs="Times New Roman"/>
          <w:sz w:val="21"/>
          <w:szCs w:val="24"/>
        </w:rPr>
        <w:drawing>
          <wp:inline distT="0" distB="0" distL="0" distR="0">
            <wp:extent cx="6623050" cy="4679950"/>
            <wp:effectExtent l="0" t="0" r="635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6623509" cy="4680000"/>
                    </a:xfrm>
                    <a:prstGeom prst="rect">
                      <a:avLst/>
                    </a:prstGeom>
                    <a:noFill/>
                    <a:ln>
                      <a:noFill/>
                    </a:ln>
                  </pic:spPr>
                </pic:pic>
              </a:graphicData>
            </a:graphic>
          </wp:inline>
        </w:drawing>
      </w:r>
    </w:p>
    <w:p>
      <w:pPr>
        <w:spacing w:line="240" w:lineRule="auto"/>
        <w:ind w:firstLine="0" w:firstLineChars="0"/>
        <w:jc w:val="center"/>
        <w:rPr>
          <w:rFonts w:ascii="Times New Roman" w:hAnsi="Times New Roman" w:cs="Times New Roman"/>
          <w:sz w:val="24"/>
          <w:szCs w:val="24"/>
          <w:highlight w:val="yellow"/>
        </w:rPr>
      </w:pPr>
    </w:p>
    <w:p>
      <w:pPr>
        <w:spacing w:line="240" w:lineRule="auto"/>
        <w:ind w:firstLine="0" w:firstLineChars="0"/>
        <w:rPr>
          <w:rFonts w:ascii="Times New Roman" w:hAnsi="Times New Roman" w:cs="仿宋"/>
          <w:b/>
          <w:bCs/>
          <w:kern w:val="0"/>
          <w:szCs w:val="28"/>
        </w:rPr>
        <w:sectPr>
          <w:pgSz w:w="16838" w:h="11906" w:orient="landscape"/>
          <w:pgMar w:top="1800" w:right="1440" w:bottom="1800" w:left="1440" w:header="851" w:footer="992" w:gutter="0"/>
          <w:cols w:space="425" w:num="1"/>
          <w:docGrid w:type="lines" w:linePitch="435" w:charSpace="0"/>
        </w:sectPr>
      </w:pPr>
    </w:p>
    <w:p>
      <w:pPr>
        <w:spacing w:line="240" w:lineRule="auto"/>
        <w:ind w:firstLine="0" w:firstLineChars="0"/>
        <w:rPr>
          <w:rFonts w:ascii="Times New Roman" w:hAnsi="Times New Roman" w:cs="Times New Roman"/>
          <w:sz w:val="24"/>
          <w:szCs w:val="24"/>
          <w:highlight w:val="yellow"/>
        </w:rPr>
      </w:pPr>
    </w:p>
    <w:p>
      <w:pPr>
        <w:widowControl/>
        <w:shd w:val="clear" w:color="auto" w:fill="FFFFFF"/>
        <w:adjustRightInd w:val="0"/>
        <w:ind w:firstLine="560"/>
        <w:jc w:val="center"/>
        <w:textAlignment w:val="baseline"/>
        <w:rPr>
          <w:rFonts w:ascii="Times New Roman" w:hAnsi="Times New Roman"/>
          <w:color w:val="000000"/>
          <w:kern w:val="0"/>
          <w:szCs w:val="28"/>
          <w:lang w:bidi="ar"/>
        </w:rPr>
      </w:pPr>
      <w:r>
        <w:rPr>
          <w:rFonts w:ascii="Times New Roman" w:hAnsi="Times New Roman"/>
        </w:rPr>
        <w:drawing>
          <wp:inline distT="0" distB="0" distL="0" distR="0">
            <wp:extent cx="6623050" cy="4679950"/>
            <wp:effectExtent l="0" t="0" r="635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6623509" cy="4680000"/>
                    </a:xfrm>
                    <a:prstGeom prst="rect">
                      <a:avLst/>
                    </a:prstGeom>
                    <a:noFill/>
                    <a:ln>
                      <a:noFill/>
                    </a:ln>
                  </pic:spPr>
                </pic:pic>
              </a:graphicData>
            </a:graphic>
          </wp:inline>
        </w:drawing>
      </w:r>
    </w:p>
    <w:sectPr>
      <w:pgSz w:w="16838" w:h="11906" w:orient="landscape"/>
      <w:pgMar w:top="1800" w:right="1440" w:bottom="1800" w:left="1440" w:header="851" w:footer="992" w:gutter="0"/>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TimesNewRomanPSMT">
    <w:altName w:val="Times New Roman"/>
    <w:panose1 w:val="00000000000000000000"/>
    <w:charset w:val="00"/>
    <w:family w:val="auto"/>
    <w:pitch w:val="default"/>
    <w:sig w:usb0="00000000" w:usb1="00000000" w:usb2="00000009" w:usb3="00000000" w:csb0="400001FF" w:csb1="FFFF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auto"/>
    <w:pitch w:val="default"/>
    <w:sig w:usb0="00000000" w:usb1="00000000" w:usb2="0000003F" w:usb3="00000000" w:csb0="603F01FF" w:csb1="FFFF0000"/>
  </w:font>
  <w:font w:name="等线 Light">
    <w:panose1 w:val="02010600030101010101"/>
    <w:charset w:val="86"/>
    <w:family w:val="auto"/>
    <w:pitch w:val="default"/>
    <w:sig w:usb0="A00002BF" w:usb1="38CF7CFA" w:usb2="00000016" w:usb3="00000000" w:csb0="0004000F" w:csb1="00000000"/>
  </w:font>
  <w:font w:name="ËÎÌå">
    <w:altName w:val="宋体"/>
    <w:panose1 w:val="00000000000000000000"/>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2240" w:firstLine="4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2240" w:firstLine="4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2240" w:firstLine="4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48157644"/>
    </w:sdtPr>
    <w:sdtContent>
      <w:p>
        <w:pPr>
          <w:pStyle w:val="9"/>
          <w:ind w:left="0" w:leftChars="0" w:firstLine="0" w:firstLineChars="0"/>
          <w:jc w:val="center"/>
        </w:pPr>
        <w:r>
          <w:fldChar w:fldCharType="begin"/>
        </w:r>
        <w:r>
          <w:instrText xml:space="preserve">PAGE   \* MERGEFORMAT</w:instrText>
        </w:r>
        <w:r>
          <w:fldChar w:fldCharType="separate"/>
        </w:r>
        <w:r>
          <w:rPr>
            <w:lang w:val="zh-CN"/>
          </w:rPr>
          <w:t>2</w:t>
        </w:r>
        <w:r>
          <w:fldChar w:fldCharType="end"/>
        </w:r>
      </w:p>
    </w:sdtContent>
  </w:sdt>
  <w:p>
    <w:pPr>
      <w:pStyle w:val="9"/>
      <w:ind w:left="2240" w:firstLine="4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1120" w:firstLine="5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1120" w:firstLine="5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1120" w:firstLine="0" w:firstLineChars="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40"/>
  <w:drawingGridVerticalSpacing w:val="435"/>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Y4ZjM4ODRiMTM5ODUxYTc0N2Y3ZTdhOTE5MmNlNzEifQ=="/>
  </w:docVars>
  <w:rsids>
    <w:rsidRoot w:val="00A960F9"/>
    <w:rsid w:val="00000E61"/>
    <w:rsid w:val="000206B8"/>
    <w:rsid w:val="00020CBB"/>
    <w:rsid w:val="000262DF"/>
    <w:rsid w:val="000311CE"/>
    <w:rsid w:val="00031251"/>
    <w:rsid w:val="00031C3D"/>
    <w:rsid w:val="00032FDA"/>
    <w:rsid w:val="00034B27"/>
    <w:rsid w:val="000374DB"/>
    <w:rsid w:val="00043D23"/>
    <w:rsid w:val="00044B5F"/>
    <w:rsid w:val="000478B7"/>
    <w:rsid w:val="0006000A"/>
    <w:rsid w:val="000620C9"/>
    <w:rsid w:val="000741C6"/>
    <w:rsid w:val="00077663"/>
    <w:rsid w:val="000978C4"/>
    <w:rsid w:val="00097ABD"/>
    <w:rsid w:val="000A24CC"/>
    <w:rsid w:val="000B1990"/>
    <w:rsid w:val="000B3643"/>
    <w:rsid w:val="000C562C"/>
    <w:rsid w:val="000C6A95"/>
    <w:rsid w:val="000D1F2E"/>
    <w:rsid w:val="000D2D84"/>
    <w:rsid w:val="000D7A82"/>
    <w:rsid w:val="000E6206"/>
    <w:rsid w:val="000F1B63"/>
    <w:rsid w:val="000F21B0"/>
    <w:rsid w:val="000F379E"/>
    <w:rsid w:val="00102442"/>
    <w:rsid w:val="00102D88"/>
    <w:rsid w:val="00107AF1"/>
    <w:rsid w:val="001176B8"/>
    <w:rsid w:val="001231DD"/>
    <w:rsid w:val="001308D5"/>
    <w:rsid w:val="0014131B"/>
    <w:rsid w:val="00143142"/>
    <w:rsid w:val="00147F2C"/>
    <w:rsid w:val="00156A1C"/>
    <w:rsid w:val="00160E5F"/>
    <w:rsid w:val="001638AC"/>
    <w:rsid w:val="00164F29"/>
    <w:rsid w:val="001675F2"/>
    <w:rsid w:val="001727B3"/>
    <w:rsid w:val="0018320F"/>
    <w:rsid w:val="001856A9"/>
    <w:rsid w:val="001A2C2B"/>
    <w:rsid w:val="001B079A"/>
    <w:rsid w:val="001B3EF5"/>
    <w:rsid w:val="001B720B"/>
    <w:rsid w:val="001B78B2"/>
    <w:rsid w:val="001C17C8"/>
    <w:rsid w:val="001C4F8E"/>
    <w:rsid w:val="001C67F4"/>
    <w:rsid w:val="001D0532"/>
    <w:rsid w:val="001D0959"/>
    <w:rsid w:val="001D10B0"/>
    <w:rsid w:val="001D43B4"/>
    <w:rsid w:val="001D6113"/>
    <w:rsid w:val="001D7AAB"/>
    <w:rsid w:val="001E30A6"/>
    <w:rsid w:val="001F0434"/>
    <w:rsid w:val="001F1E2A"/>
    <w:rsid w:val="002044D2"/>
    <w:rsid w:val="00210B9A"/>
    <w:rsid w:val="00211A37"/>
    <w:rsid w:val="00211F2A"/>
    <w:rsid w:val="00216427"/>
    <w:rsid w:val="00220E93"/>
    <w:rsid w:val="00225D29"/>
    <w:rsid w:val="002407E0"/>
    <w:rsid w:val="002515B2"/>
    <w:rsid w:val="00252AC7"/>
    <w:rsid w:val="00254A66"/>
    <w:rsid w:val="00265825"/>
    <w:rsid w:val="00274C07"/>
    <w:rsid w:val="0028096B"/>
    <w:rsid w:val="00282C4E"/>
    <w:rsid w:val="00287F2A"/>
    <w:rsid w:val="002A0A7F"/>
    <w:rsid w:val="002A4988"/>
    <w:rsid w:val="002B18CE"/>
    <w:rsid w:val="002B3FBD"/>
    <w:rsid w:val="002B41B3"/>
    <w:rsid w:val="002C7DAA"/>
    <w:rsid w:val="002D0C82"/>
    <w:rsid w:val="002D46A7"/>
    <w:rsid w:val="002D704C"/>
    <w:rsid w:val="002E2CD8"/>
    <w:rsid w:val="002E316F"/>
    <w:rsid w:val="002E5504"/>
    <w:rsid w:val="002E639E"/>
    <w:rsid w:val="002E70F8"/>
    <w:rsid w:val="002F3301"/>
    <w:rsid w:val="002F4B35"/>
    <w:rsid w:val="002F50A0"/>
    <w:rsid w:val="002F774C"/>
    <w:rsid w:val="00305C71"/>
    <w:rsid w:val="003104CE"/>
    <w:rsid w:val="003107A7"/>
    <w:rsid w:val="00313463"/>
    <w:rsid w:val="00316736"/>
    <w:rsid w:val="00317BEF"/>
    <w:rsid w:val="00321AF8"/>
    <w:rsid w:val="003254DD"/>
    <w:rsid w:val="00327674"/>
    <w:rsid w:val="003338F6"/>
    <w:rsid w:val="00335C1C"/>
    <w:rsid w:val="00337DBE"/>
    <w:rsid w:val="00340791"/>
    <w:rsid w:val="00345B91"/>
    <w:rsid w:val="00347522"/>
    <w:rsid w:val="00347B38"/>
    <w:rsid w:val="00352949"/>
    <w:rsid w:val="00352E8A"/>
    <w:rsid w:val="003600C4"/>
    <w:rsid w:val="00365761"/>
    <w:rsid w:val="00370B43"/>
    <w:rsid w:val="003739D6"/>
    <w:rsid w:val="00373E19"/>
    <w:rsid w:val="00383132"/>
    <w:rsid w:val="00391523"/>
    <w:rsid w:val="003935C1"/>
    <w:rsid w:val="00394972"/>
    <w:rsid w:val="003972A5"/>
    <w:rsid w:val="003A2E58"/>
    <w:rsid w:val="003B7DCD"/>
    <w:rsid w:val="003C06C5"/>
    <w:rsid w:val="003D346A"/>
    <w:rsid w:val="003D6EDB"/>
    <w:rsid w:val="003E4CF7"/>
    <w:rsid w:val="003E6BA8"/>
    <w:rsid w:val="00400285"/>
    <w:rsid w:val="004042EF"/>
    <w:rsid w:val="00405375"/>
    <w:rsid w:val="0041332E"/>
    <w:rsid w:val="004300C5"/>
    <w:rsid w:val="00433095"/>
    <w:rsid w:val="0044041C"/>
    <w:rsid w:val="0044756D"/>
    <w:rsid w:val="00447E78"/>
    <w:rsid w:val="00453D00"/>
    <w:rsid w:val="00453FEA"/>
    <w:rsid w:val="0045777C"/>
    <w:rsid w:val="00461C69"/>
    <w:rsid w:val="00470697"/>
    <w:rsid w:val="00470BD0"/>
    <w:rsid w:val="0047432D"/>
    <w:rsid w:val="0047461D"/>
    <w:rsid w:val="00474A2E"/>
    <w:rsid w:val="004759C9"/>
    <w:rsid w:val="00495F17"/>
    <w:rsid w:val="004960CD"/>
    <w:rsid w:val="00496466"/>
    <w:rsid w:val="00497DC6"/>
    <w:rsid w:val="004A72E8"/>
    <w:rsid w:val="004B4496"/>
    <w:rsid w:val="004B5C77"/>
    <w:rsid w:val="004C18B0"/>
    <w:rsid w:val="004C5332"/>
    <w:rsid w:val="004C7192"/>
    <w:rsid w:val="004E1DBA"/>
    <w:rsid w:val="004E42B0"/>
    <w:rsid w:val="004E4703"/>
    <w:rsid w:val="004E54ED"/>
    <w:rsid w:val="004E7345"/>
    <w:rsid w:val="004F2F99"/>
    <w:rsid w:val="004F4CFD"/>
    <w:rsid w:val="004F5A6A"/>
    <w:rsid w:val="004F7072"/>
    <w:rsid w:val="005002D0"/>
    <w:rsid w:val="00501A93"/>
    <w:rsid w:val="0050278E"/>
    <w:rsid w:val="00503A2A"/>
    <w:rsid w:val="005048F8"/>
    <w:rsid w:val="00511425"/>
    <w:rsid w:val="00511D9D"/>
    <w:rsid w:val="005149C5"/>
    <w:rsid w:val="00517D3E"/>
    <w:rsid w:val="00534602"/>
    <w:rsid w:val="00534DD8"/>
    <w:rsid w:val="005379A7"/>
    <w:rsid w:val="0054707F"/>
    <w:rsid w:val="005670C0"/>
    <w:rsid w:val="00571A7E"/>
    <w:rsid w:val="00582DD9"/>
    <w:rsid w:val="00583897"/>
    <w:rsid w:val="00595D55"/>
    <w:rsid w:val="005A47F9"/>
    <w:rsid w:val="005B0047"/>
    <w:rsid w:val="005B221D"/>
    <w:rsid w:val="005B7E3A"/>
    <w:rsid w:val="005C3842"/>
    <w:rsid w:val="005D275C"/>
    <w:rsid w:val="005D4D1F"/>
    <w:rsid w:val="005E007B"/>
    <w:rsid w:val="005E3BFC"/>
    <w:rsid w:val="005F4B04"/>
    <w:rsid w:val="005F65D0"/>
    <w:rsid w:val="005F7831"/>
    <w:rsid w:val="006037E8"/>
    <w:rsid w:val="006102C5"/>
    <w:rsid w:val="0061426C"/>
    <w:rsid w:val="0062074D"/>
    <w:rsid w:val="00627009"/>
    <w:rsid w:val="00627079"/>
    <w:rsid w:val="0065401F"/>
    <w:rsid w:val="00665031"/>
    <w:rsid w:val="006678C0"/>
    <w:rsid w:val="00671FE3"/>
    <w:rsid w:val="006722E4"/>
    <w:rsid w:val="006730C4"/>
    <w:rsid w:val="0067706F"/>
    <w:rsid w:val="00680420"/>
    <w:rsid w:val="00680823"/>
    <w:rsid w:val="006904F9"/>
    <w:rsid w:val="00690AFD"/>
    <w:rsid w:val="006949FF"/>
    <w:rsid w:val="006C074E"/>
    <w:rsid w:val="006C2243"/>
    <w:rsid w:val="006C505A"/>
    <w:rsid w:val="006D0091"/>
    <w:rsid w:val="006D4163"/>
    <w:rsid w:val="006E2718"/>
    <w:rsid w:val="006F5A07"/>
    <w:rsid w:val="006F689C"/>
    <w:rsid w:val="0070057C"/>
    <w:rsid w:val="0070512B"/>
    <w:rsid w:val="00713457"/>
    <w:rsid w:val="0071601D"/>
    <w:rsid w:val="007205DF"/>
    <w:rsid w:val="00726D1B"/>
    <w:rsid w:val="0075139A"/>
    <w:rsid w:val="007530AE"/>
    <w:rsid w:val="007534FD"/>
    <w:rsid w:val="007539B4"/>
    <w:rsid w:val="007541BF"/>
    <w:rsid w:val="00774393"/>
    <w:rsid w:val="00776AE2"/>
    <w:rsid w:val="007806BE"/>
    <w:rsid w:val="00780807"/>
    <w:rsid w:val="00782939"/>
    <w:rsid w:val="00782B2A"/>
    <w:rsid w:val="00791842"/>
    <w:rsid w:val="00792696"/>
    <w:rsid w:val="00792D1C"/>
    <w:rsid w:val="00793C5F"/>
    <w:rsid w:val="007A0951"/>
    <w:rsid w:val="007A141F"/>
    <w:rsid w:val="007A1B50"/>
    <w:rsid w:val="007A2650"/>
    <w:rsid w:val="007B5310"/>
    <w:rsid w:val="007C11CA"/>
    <w:rsid w:val="007C7C9B"/>
    <w:rsid w:val="007D3DE2"/>
    <w:rsid w:val="007D4F1D"/>
    <w:rsid w:val="007D52E4"/>
    <w:rsid w:val="007E15D0"/>
    <w:rsid w:val="007E1607"/>
    <w:rsid w:val="00802FDD"/>
    <w:rsid w:val="008161BE"/>
    <w:rsid w:val="0082730A"/>
    <w:rsid w:val="00831DBF"/>
    <w:rsid w:val="00833D14"/>
    <w:rsid w:val="00843367"/>
    <w:rsid w:val="00850857"/>
    <w:rsid w:val="00851882"/>
    <w:rsid w:val="00860279"/>
    <w:rsid w:val="00860A9D"/>
    <w:rsid w:val="00864CEF"/>
    <w:rsid w:val="00865A32"/>
    <w:rsid w:val="0086755C"/>
    <w:rsid w:val="00884FEA"/>
    <w:rsid w:val="008863DD"/>
    <w:rsid w:val="0089218C"/>
    <w:rsid w:val="00892B34"/>
    <w:rsid w:val="00893252"/>
    <w:rsid w:val="00897ED9"/>
    <w:rsid w:val="008A562E"/>
    <w:rsid w:val="008B1828"/>
    <w:rsid w:val="008B369D"/>
    <w:rsid w:val="008C2552"/>
    <w:rsid w:val="008C357C"/>
    <w:rsid w:val="008C4609"/>
    <w:rsid w:val="008D3ECC"/>
    <w:rsid w:val="008D4F4B"/>
    <w:rsid w:val="008D7BFE"/>
    <w:rsid w:val="008E2E08"/>
    <w:rsid w:val="008E4D82"/>
    <w:rsid w:val="008F5482"/>
    <w:rsid w:val="008F7045"/>
    <w:rsid w:val="009138DE"/>
    <w:rsid w:val="00922A35"/>
    <w:rsid w:val="00924487"/>
    <w:rsid w:val="00924E2A"/>
    <w:rsid w:val="0093169F"/>
    <w:rsid w:val="009329C8"/>
    <w:rsid w:val="00932C2A"/>
    <w:rsid w:val="00935F4F"/>
    <w:rsid w:val="00941D67"/>
    <w:rsid w:val="00942A31"/>
    <w:rsid w:val="00944453"/>
    <w:rsid w:val="00950945"/>
    <w:rsid w:val="0095187A"/>
    <w:rsid w:val="009523F3"/>
    <w:rsid w:val="00953628"/>
    <w:rsid w:val="00953C3F"/>
    <w:rsid w:val="00955754"/>
    <w:rsid w:val="00961992"/>
    <w:rsid w:val="0096429C"/>
    <w:rsid w:val="00974B44"/>
    <w:rsid w:val="0097537D"/>
    <w:rsid w:val="0097787B"/>
    <w:rsid w:val="00984F80"/>
    <w:rsid w:val="00986375"/>
    <w:rsid w:val="009A09C9"/>
    <w:rsid w:val="009A1515"/>
    <w:rsid w:val="009A5EBF"/>
    <w:rsid w:val="009B1B3C"/>
    <w:rsid w:val="009B60DF"/>
    <w:rsid w:val="009C1898"/>
    <w:rsid w:val="009C779C"/>
    <w:rsid w:val="009C7D5F"/>
    <w:rsid w:val="009D0872"/>
    <w:rsid w:val="009D256D"/>
    <w:rsid w:val="009F3BA8"/>
    <w:rsid w:val="009F3E61"/>
    <w:rsid w:val="00A2031C"/>
    <w:rsid w:val="00A2538E"/>
    <w:rsid w:val="00A261C7"/>
    <w:rsid w:val="00A30FC6"/>
    <w:rsid w:val="00A3603B"/>
    <w:rsid w:val="00A42B58"/>
    <w:rsid w:val="00A45D98"/>
    <w:rsid w:val="00A513BD"/>
    <w:rsid w:val="00A536C8"/>
    <w:rsid w:val="00A55FB8"/>
    <w:rsid w:val="00A611CB"/>
    <w:rsid w:val="00A65424"/>
    <w:rsid w:val="00A66871"/>
    <w:rsid w:val="00A74A40"/>
    <w:rsid w:val="00A76B0D"/>
    <w:rsid w:val="00A80A5B"/>
    <w:rsid w:val="00A85EB5"/>
    <w:rsid w:val="00A86DF4"/>
    <w:rsid w:val="00A960F9"/>
    <w:rsid w:val="00AA7260"/>
    <w:rsid w:val="00AB14B3"/>
    <w:rsid w:val="00AB5762"/>
    <w:rsid w:val="00AB6A59"/>
    <w:rsid w:val="00AC6FDC"/>
    <w:rsid w:val="00AD118F"/>
    <w:rsid w:val="00AD3AE4"/>
    <w:rsid w:val="00AD4A72"/>
    <w:rsid w:val="00AD5CC6"/>
    <w:rsid w:val="00AE011B"/>
    <w:rsid w:val="00AE2245"/>
    <w:rsid w:val="00AE7142"/>
    <w:rsid w:val="00AF5A4B"/>
    <w:rsid w:val="00AF7B73"/>
    <w:rsid w:val="00AF7E0E"/>
    <w:rsid w:val="00B020B3"/>
    <w:rsid w:val="00B104A3"/>
    <w:rsid w:val="00B22105"/>
    <w:rsid w:val="00B22AC5"/>
    <w:rsid w:val="00B2620A"/>
    <w:rsid w:val="00B26F5F"/>
    <w:rsid w:val="00B30992"/>
    <w:rsid w:val="00B30E68"/>
    <w:rsid w:val="00B31615"/>
    <w:rsid w:val="00B3296C"/>
    <w:rsid w:val="00B357D9"/>
    <w:rsid w:val="00B407F4"/>
    <w:rsid w:val="00B42C96"/>
    <w:rsid w:val="00B44680"/>
    <w:rsid w:val="00B45E52"/>
    <w:rsid w:val="00B4684B"/>
    <w:rsid w:val="00B47709"/>
    <w:rsid w:val="00B55C54"/>
    <w:rsid w:val="00B61F50"/>
    <w:rsid w:val="00B64149"/>
    <w:rsid w:val="00B65237"/>
    <w:rsid w:val="00B6551B"/>
    <w:rsid w:val="00B700A0"/>
    <w:rsid w:val="00B75B3B"/>
    <w:rsid w:val="00B815D2"/>
    <w:rsid w:val="00B81C7C"/>
    <w:rsid w:val="00B823C0"/>
    <w:rsid w:val="00B83465"/>
    <w:rsid w:val="00B83675"/>
    <w:rsid w:val="00B846CD"/>
    <w:rsid w:val="00B910AC"/>
    <w:rsid w:val="00B95BDC"/>
    <w:rsid w:val="00B977D8"/>
    <w:rsid w:val="00BA3A73"/>
    <w:rsid w:val="00BA6C63"/>
    <w:rsid w:val="00BB78E9"/>
    <w:rsid w:val="00BD1842"/>
    <w:rsid w:val="00BD364D"/>
    <w:rsid w:val="00BD4584"/>
    <w:rsid w:val="00BE05F1"/>
    <w:rsid w:val="00BF254E"/>
    <w:rsid w:val="00C004AD"/>
    <w:rsid w:val="00C05848"/>
    <w:rsid w:val="00C130A1"/>
    <w:rsid w:val="00C21C33"/>
    <w:rsid w:val="00C33D9C"/>
    <w:rsid w:val="00C41C76"/>
    <w:rsid w:val="00C438B5"/>
    <w:rsid w:val="00C51B60"/>
    <w:rsid w:val="00C57F0A"/>
    <w:rsid w:val="00C802B9"/>
    <w:rsid w:val="00C84FF8"/>
    <w:rsid w:val="00C864DA"/>
    <w:rsid w:val="00C972EE"/>
    <w:rsid w:val="00C9750A"/>
    <w:rsid w:val="00CB25C6"/>
    <w:rsid w:val="00CB3ED9"/>
    <w:rsid w:val="00CC43FB"/>
    <w:rsid w:val="00CC4972"/>
    <w:rsid w:val="00CD3CA6"/>
    <w:rsid w:val="00CE0CC0"/>
    <w:rsid w:val="00CE4BE4"/>
    <w:rsid w:val="00CE7672"/>
    <w:rsid w:val="00CF1640"/>
    <w:rsid w:val="00CF173B"/>
    <w:rsid w:val="00CF518B"/>
    <w:rsid w:val="00CF747C"/>
    <w:rsid w:val="00D01ED9"/>
    <w:rsid w:val="00D04F92"/>
    <w:rsid w:val="00D069BA"/>
    <w:rsid w:val="00D117B1"/>
    <w:rsid w:val="00D150AE"/>
    <w:rsid w:val="00D15264"/>
    <w:rsid w:val="00D23E87"/>
    <w:rsid w:val="00D30C25"/>
    <w:rsid w:val="00D357C2"/>
    <w:rsid w:val="00D36995"/>
    <w:rsid w:val="00D37939"/>
    <w:rsid w:val="00D40ADF"/>
    <w:rsid w:val="00D525A0"/>
    <w:rsid w:val="00D552E1"/>
    <w:rsid w:val="00D56EF0"/>
    <w:rsid w:val="00D576AA"/>
    <w:rsid w:val="00D61C83"/>
    <w:rsid w:val="00D767FF"/>
    <w:rsid w:val="00D819F8"/>
    <w:rsid w:val="00D8262E"/>
    <w:rsid w:val="00D9174A"/>
    <w:rsid w:val="00DA1AE7"/>
    <w:rsid w:val="00DA6F26"/>
    <w:rsid w:val="00DB3515"/>
    <w:rsid w:val="00DB7029"/>
    <w:rsid w:val="00DD1A12"/>
    <w:rsid w:val="00DE1EBE"/>
    <w:rsid w:val="00DE28D8"/>
    <w:rsid w:val="00DE70EF"/>
    <w:rsid w:val="00DE74E7"/>
    <w:rsid w:val="00DE78A8"/>
    <w:rsid w:val="00DE7D51"/>
    <w:rsid w:val="00DF1784"/>
    <w:rsid w:val="00DF32EC"/>
    <w:rsid w:val="00DF4C51"/>
    <w:rsid w:val="00DF6E97"/>
    <w:rsid w:val="00DF756B"/>
    <w:rsid w:val="00E01577"/>
    <w:rsid w:val="00E04552"/>
    <w:rsid w:val="00E129B2"/>
    <w:rsid w:val="00E148AF"/>
    <w:rsid w:val="00E171CB"/>
    <w:rsid w:val="00E17ADD"/>
    <w:rsid w:val="00E3021F"/>
    <w:rsid w:val="00E32D64"/>
    <w:rsid w:val="00E33670"/>
    <w:rsid w:val="00E4744A"/>
    <w:rsid w:val="00E54436"/>
    <w:rsid w:val="00E840F9"/>
    <w:rsid w:val="00E85F46"/>
    <w:rsid w:val="00E93449"/>
    <w:rsid w:val="00EA0C32"/>
    <w:rsid w:val="00EB0FA8"/>
    <w:rsid w:val="00EB1D2C"/>
    <w:rsid w:val="00EB6291"/>
    <w:rsid w:val="00EB72DB"/>
    <w:rsid w:val="00EC41A5"/>
    <w:rsid w:val="00ED0B60"/>
    <w:rsid w:val="00ED0CD7"/>
    <w:rsid w:val="00ED7947"/>
    <w:rsid w:val="00ED7B85"/>
    <w:rsid w:val="00EE15FE"/>
    <w:rsid w:val="00EE2E36"/>
    <w:rsid w:val="00EE5D9C"/>
    <w:rsid w:val="00EE62BE"/>
    <w:rsid w:val="00EF0FF8"/>
    <w:rsid w:val="00F03E6F"/>
    <w:rsid w:val="00F1741C"/>
    <w:rsid w:val="00F20AC7"/>
    <w:rsid w:val="00F24263"/>
    <w:rsid w:val="00F26174"/>
    <w:rsid w:val="00F270BD"/>
    <w:rsid w:val="00F3015A"/>
    <w:rsid w:val="00F347C6"/>
    <w:rsid w:val="00F37D11"/>
    <w:rsid w:val="00F44C30"/>
    <w:rsid w:val="00F51812"/>
    <w:rsid w:val="00F560B0"/>
    <w:rsid w:val="00F70E27"/>
    <w:rsid w:val="00F76118"/>
    <w:rsid w:val="00F90902"/>
    <w:rsid w:val="00F93670"/>
    <w:rsid w:val="00FA6BC3"/>
    <w:rsid w:val="00FB24AE"/>
    <w:rsid w:val="00FB79B4"/>
    <w:rsid w:val="00FD3FA8"/>
    <w:rsid w:val="00FE08F2"/>
    <w:rsid w:val="00FE4732"/>
    <w:rsid w:val="00FE4D6E"/>
    <w:rsid w:val="13305EA0"/>
    <w:rsid w:val="376F67EF"/>
    <w:rsid w:val="3D23486F"/>
    <w:rsid w:val="45274E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Calibri" w:hAnsi="Calibri" w:eastAsia="宋体" w:cs="宋体"/>
      <w:kern w:val="2"/>
      <w:sz w:val="28"/>
      <w:szCs w:val="22"/>
      <w:lang w:val="en-US" w:eastAsia="zh-CN" w:bidi="ar-SA"/>
    </w:rPr>
  </w:style>
  <w:style w:type="paragraph" w:styleId="3">
    <w:name w:val="heading 1"/>
    <w:basedOn w:val="1"/>
    <w:next w:val="1"/>
    <w:link w:val="30"/>
    <w:qFormat/>
    <w:uiPriority w:val="0"/>
    <w:pPr>
      <w:keepNext/>
      <w:keepLines/>
      <w:spacing w:line="240" w:lineRule="auto"/>
      <w:ind w:firstLine="0" w:firstLineChars="0"/>
      <w:jc w:val="center"/>
      <w:outlineLvl w:val="0"/>
    </w:pPr>
    <w:rPr>
      <w:rFonts w:ascii="Times New Roman" w:hAnsi="Times New Roman"/>
      <w:b/>
      <w:bCs/>
      <w:color w:val="000000" w:themeColor="text1"/>
      <w:kern w:val="44"/>
      <w:sz w:val="36"/>
      <w:szCs w:val="44"/>
      <w14:textFill>
        <w14:solidFill>
          <w14:schemeClr w14:val="tx1"/>
        </w14:solidFill>
      </w14:textFill>
    </w:rPr>
  </w:style>
  <w:style w:type="paragraph" w:styleId="4">
    <w:name w:val="heading 2"/>
    <w:basedOn w:val="1"/>
    <w:next w:val="1"/>
    <w:link w:val="31"/>
    <w:unhideWhenUsed/>
    <w:qFormat/>
    <w:uiPriority w:val="0"/>
    <w:pPr>
      <w:keepNext/>
      <w:keepLines/>
      <w:spacing w:line="240" w:lineRule="auto"/>
      <w:ind w:firstLine="0" w:firstLineChars="0"/>
      <w:jc w:val="center"/>
      <w:outlineLvl w:val="1"/>
    </w:pPr>
    <w:rPr>
      <w:rFonts w:ascii="Times New Roman" w:hAnsi="Times New Roman" w:cstheme="majorBidi"/>
      <w:b/>
      <w:bCs/>
      <w:color w:val="000000" w:themeColor="text1"/>
      <w:sz w:val="36"/>
      <w:szCs w:val="32"/>
      <w14:textFill>
        <w14:solidFill>
          <w14:schemeClr w14:val="tx1"/>
        </w14:solidFill>
      </w14:textFill>
    </w:rPr>
  </w:style>
  <w:style w:type="paragraph" w:styleId="5">
    <w:name w:val="heading 3"/>
    <w:basedOn w:val="1"/>
    <w:next w:val="1"/>
    <w:link w:val="32"/>
    <w:unhideWhenUsed/>
    <w:qFormat/>
    <w:uiPriority w:val="0"/>
    <w:pPr>
      <w:keepNext/>
      <w:keepLines/>
      <w:spacing w:line="240" w:lineRule="auto"/>
      <w:ind w:firstLine="0" w:firstLineChars="0"/>
      <w:jc w:val="left"/>
      <w:outlineLvl w:val="2"/>
    </w:pPr>
    <w:rPr>
      <w:rFonts w:ascii="Times New Roman" w:hAnsi="Times New Roman"/>
      <w:b/>
      <w:bCs/>
      <w:color w:val="000000" w:themeColor="text1"/>
      <w:sz w:val="32"/>
      <w:szCs w:val="32"/>
      <w14:textFill>
        <w14:solidFill>
          <w14:schemeClr w14:val="tx1"/>
        </w14:solidFill>
      </w14:textFill>
    </w:rPr>
  </w:style>
  <w:style w:type="character" w:default="1" w:styleId="25">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9"/>
    <w:qFormat/>
    <w:uiPriority w:val="1"/>
    <w:pPr>
      <w:autoSpaceDE w:val="0"/>
      <w:autoSpaceDN w:val="0"/>
      <w:spacing w:line="240" w:lineRule="auto"/>
      <w:jc w:val="left"/>
    </w:pPr>
    <w:rPr>
      <w:rFonts w:ascii="宋体" w:hAnsi="宋体"/>
      <w:kern w:val="0"/>
      <w:sz w:val="30"/>
      <w:szCs w:val="30"/>
      <w:lang w:eastAsia="en-US"/>
    </w:rPr>
  </w:style>
  <w:style w:type="paragraph" w:styleId="6">
    <w:name w:val="toc 7"/>
    <w:basedOn w:val="1"/>
    <w:next w:val="1"/>
    <w:unhideWhenUsed/>
    <w:qFormat/>
    <w:uiPriority w:val="39"/>
    <w:pPr>
      <w:spacing w:line="240" w:lineRule="auto"/>
      <w:ind w:left="2520" w:leftChars="1200"/>
    </w:pPr>
    <w:rPr>
      <w:rFonts w:asciiTheme="minorHAnsi" w:hAnsiTheme="minorHAnsi" w:eastAsiaTheme="minorEastAsia" w:cstheme="minorBidi"/>
      <w:sz w:val="21"/>
    </w:rPr>
  </w:style>
  <w:style w:type="paragraph" w:styleId="7">
    <w:name w:val="Normal Indent"/>
    <w:basedOn w:val="1"/>
    <w:qFormat/>
    <w:uiPriority w:val="0"/>
    <w:pPr>
      <w:ind w:firstLine="420"/>
    </w:pPr>
  </w:style>
  <w:style w:type="paragraph" w:styleId="8">
    <w:name w:val="annotation text"/>
    <w:basedOn w:val="1"/>
    <w:link w:val="33"/>
    <w:unhideWhenUsed/>
    <w:qFormat/>
    <w:uiPriority w:val="99"/>
    <w:pPr>
      <w:spacing w:line="240" w:lineRule="auto"/>
      <w:jc w:val="left"/>
    </w:pPr>
    <w:rPr>
      <w:rFonts w:ascii="等线" w:hAnsi="等线" w:eastAsia="等线" w:cs="Times New Roman"/>
      <w:sz w:val="21"/>
    </w:rPr>
  </w:style>
  <w:style w:type="paragraph" w:styleId="9">
    <w:name w:val="toc 5"/>
    <w:basedOn w:val="1"/>
    <w:next w:val="1"/>
    <w:unhideWhenUsed/>
    <w:qFormat/>
    <w:uiPriority w:val="39"/>
    <w:pPr>
      <w:spacing w:line="240" w:lineRule="auto"/>
      <w:ind w:left="1680" w:leftChars="800"/>
    </w:pPr>
    <w:rPr>
      <w:rFonts w:asciiTheme="minorHAnsi" w:hAnsiTheme="minorHAnsi" w:eastAsiaTheme="minorEastAsia" w:cstheme="minorBidi"/>
      <w:sz w:val="21"/>
    </w:rPr>
  </w:style>
  <w:style w:type="paragraph" w:styleId="10">
    <w:name w:val="toc 3"/>
    <w:basedOn w:val="1"/>
    <w:next w:val="1"/>
    <w:unhideWhenUsed/>
    <w:qFormat/>
    <w:uiPriority w:val="39"/>
    <w:pPr>
      <w:spacing w:line="240" w:lineRule="auto"/>
      <w:ind w:left="400" w:leftChars="400"/>
    </w:pPr>
  </w:style>
  <w:style w:type="paragraph" w:styleId="11">
    <w:name w:val="toc 8"/>
    <w:basedOn w:val="1"/>
    <w:next w:val="1"/>
    <w:unhideWhenUsed/>
    <w:qFormat/>
    <w:uiPriority w:val="39"/>
    <w:pPr>
      <w:spacing w:line="240" w:lineRule="auto"/>
      <w:ind w:left="2940" w:leftChars="1400"/>
    </w:pPr>
    <w:rPr>
      <w:rFonts w:asciiTheme="minorHAnsi" w:hAnsiTheme="minorHAnsi" w:eastAsiaTheme="minorEastAsia" w:cstheme="minorBidi"/>
      <w:sz w:val="21"/>
    </w:rPr>
  </w:style>
  <w:style w:type="paragraph" w:styleId="12">
    <w:name w:val="Date"/>
    <w:basedOn w:val="1"/>
    <w:next w:val="1"/>
    <w:link w:val="34"/>
    <w:semiHidden/>
    <w:unhideWhenUsed/>
    <w:qFormat/>
    <w:uiPriority w:val="99"/>
    <w:pPr>
      <w:ind w:left="100" w:leftChars="2500"/>
    </w:pPr>
  </w:style>
  <w:style w:type="paragraph" w:styleId="13">
    <w:name w:val="Balloon Text"/>
    <w:basedOn w:val="1"/>
    <w:link w:val="35"/>
    <w:semiHidden/>
    <w:unhideWhenUsed/>
    <w:qFormat/>
    <w:uiPriority w:val="99"/>
    <w:pPr>
      <w:spacing w:line="240" w:lineRule="auto"/>
    </w:pPr>
    <w:rPr>
      <w:rFonts w:cs="Times New Roman"/>
      <w:sz w:val="18"/>
      <w:szCs w:val="18"/>
    </w:rPr>
  </w:style>
  <w:style w:type="paragraph" w:styleId="14">
    <w:name w:val="footer"/>
    <w:basedOn w:val="1"/>
    <w:link w:val="36"/>
    <w:unhideWhenUsed/>
    <w:qFormat/>
    <w:uiPriority w:val="99"/>
    <w:pPr>
      <w:tabs>
        <w:tab w:val="center" w:pos="4153"/>
        <w:tab w:val="right" w:pos="8306"/>
      </w:tabs>
      <w:snapToGrid w:val="0"/>
      <w:jc w:val="left"/>
    </w:pPr>
    <w:rPr>
      <w:sz w:val="18"/>
      <w:szCs w:val="18"/>
    </w:rPr>
  </w:style>
  <w:style w:type="paragraph" w:styleId="15">
    <w:name w:val="header"/>
    <w:basedOn w:val="1"/>
    <w:link w:val="37"/>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spacing w:line="240" w:lineRule="auto"/>
    </w:pPr>
  </w:style>
  <w:style w:type="paragraph" w:styleId="17">
    <w:name w:val="toc 4"/>
    <w:basedOn w:val="1"/>
    <w:next w:val="1"/>
    <w:unhideWhenUsed/>
    <w:qFormat/>
    <w:uiPriority w:val="39"/>
    <w:pPr>
      <w:spacing w:line="240" w:lineRule="auto"/>
      <w:ind w:left="1260" w:leftChars="600"/>
    </w:pPr>
    <w:rPr>
      <w:rFonts w:asciiTheme="minorHAnsi" w:hAnsiTheme="minorHAnsi" w:cstheme="minorBidi"/>
    </w:rPr>
  </w:style>
  <w:style w:type="paragraph" w:styleId="18">
    <w:name w:val="toc 6"/>
    <w:basedOn w:val="1"/>
    <w:next w:val="1"/>
    <w:unhideWhenUsed/>
    <w:qFormat/>
    <w:uiPriority w:val="39"/>
    <w:pPr>
      <w:spacing w:line="240" w:lineRule="auto"/>
      <w:ind w:left="2100" w:leftChars="1000"/>
    </w:pPr>
    <w:rPr>
      <w:rFonts w:asciiTheme="minorHAnsi" w:hAnsiTheme="minorHAnsi" w:eastAsiaTheme="minorEastAsia" w:cstheme="minorBidi"/>
      <w:sz w:val="21"/>
    </w:rPr>
  </w:style>
  <w:style w:type="paragraph" w:styleId="19">
    <w:name w:val="toc 2"/>
    <w:basedOn w:val="1"/>
    <w:next w:val="1"/>
    <w:unhideWhenUsed/>
    <w:qFormat/>
    <w:uiPriority w:val="39"/>
    <w:pPr>
      <w:spacing w:line="240" w:lineRule="auto"/>
      <w:ind w:left="200" w:leftChars="200"/>
    </w:pPr>
  </w:style>
  <w:style w:type="paragraph" w:styleId="20">
    <w:name w:val="toc 9"/>
    <w:basedOn w:val="1"/>
    <w:next w:val="1"/>
    <w:unhideWhenUsed/>
    <w:qFormat/>
    <w:uiPriority w:val="39"/>
    <w:pPr>
      <w:spacing w:line="240" w:lineRule="auto"/>
      <w:ind w:left="3360" w:leftChars="1600"/>
    </w:pPr>
    <w:rPr>
      <w:rFonts w:asciiTheme="minorHAnsi" w:hAnsiTheme="minorHAnsi" w:eastAsiaTheme="minorEastAsia" w:cstheme="minorBidi"/>
      <w:sz w:val="21"/>
    </w:rPr>
  </w:style>
  <w:style w:type="paragraph" w:styleId="21">
    <w:name w:val="Normal (Web)"/>
    <w:basedOn w:val="1"/>
    <w:unhideWhenUsed/>
    <w:qFormat/>
    <w:uiPriority w:val="99"/>
    <w:pPr>
      <w:widowControl/>
      <w:spacing w:before="100" w:beforeAutospacing="1" w:after="100" w:afterAutospacing="1" w:line="240" w:lineRule="auto"/>
      <w:jc w:val="left"/>
    </w:pPr>
    <w:rPr>
      <w:rFonts w:ascii="宋体" w:hAnsi="宋体"/>
      <w:kern w:val="0"/>
      <w:sz w:val="24"/>
      <w:szCs w:val="24"/>
    </w:rPr>
  </w:style>
  <w:style w:type="paragraph" w:styleId="22">
    <w:name w:val="Title"/>
    <w:basedOn w:val="1"/>
    <w:next w:val="1"/>
    <w:link w:val="38"/>
    <w:qFormat/>
    <w:uiPriority w:val="0"/>
    <w:pPr>
      <w:spacing w:line="240" w:lineRule="auto"/>
      <w:ind w:firstLine="0" w:firstLineChars="0"/>
      <w:jc w:val="center"/>
      <w:outlineLvl w:val="0"/>
    </w:pPr>
    <w:rPr>
      <w:rFonts w:ascii="Cambria" w:hAnsi="Cambria" w:cs="Times New Roman"/>
      <w:b/>
      <w:bCs/>
      <w:color w:val="000000" w:themeColor="text1"/>
      <w:sz w:val="44"/>
      <w:szCs w:val="32"/>
      <w14:textFill>
        <w14:solidFill>
          <w14:schemeClr w14:val="tx1"/>
        </w14:solidFill>
      </w14:textFill>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22"/>
    <w:rPr>
      <w:b/>
      <w:bCs/>
    </w:rPr>
  </w:style>
  <w:style w:type="character" w:styleId="27">
    <w:name w:val="Hyperlink"/>
    <w:basedOn w:val="25"/>
    <w:qFormat/>
    <w:uiPriority w:val="99"/>
    <w:rPr>
      <w:color w:val="0268CD"/>
      <w:u w:val="none"/>
    </w:rPr>
  </w:style>
  <w:style w:type="character" w:styleId="28">
    <w:name w:val="annotation reference"/>
    <w:basedOn w:val="25"/>
    <w:unhideWhenUsed/>
    <w:qFormat/>
    <w:uiPriority w:val="99"/>
    <w:rPr>
      <w:sz w:val="21"/>
      <w:szCs w:val="21"/>
    </w:rPr>
  </w:style>
  <w:style w:type="character" w:customStyle="1" w:styleId="29">
    <w:name w:val="正文文本 字符"/>
    <w:basedOn w:val="25"/>
    <w:link w:val="2"/>
    <w:qFormat/>
    <w:uiPriority w:val="1"/>
    <w:rPr>
      <w:rFonts w:ascii="宋体" w:hAnsi="宋体" w:eastAsia="宋体" w:cs="宋体"/>
      <w:kern w:val="0"/>
      <w:sz w:val="30"/>
      <w:szCs w:val="30"/>
      <w:lang w:eastAsia="en-US"/>
    </w:rPr>
  </w:style>
  <w:style w:type="character" w:customStyle="1" w:styleId="30">
    <w:name w:val="标题 1 字符"/>
    <w:basedOn w:val="25"/>
    <w:link w:val="3"/>
    <w:qFormat/>
    <w:uiPriority w:val="0"/>
    <w:rPr>
      <w:rFonts w:ascii="Times New Roman" w:hAnsi="Times New Roman" w:eastAsia="宋体" w:cs="宋体"/>
      <w:b/>
      <w:bCs/>
      <w:color w:val="000000" w:themeColor="text1"/>
      <w:kern w:val="44"/>
      <w:sz w:val="36"/>
      <w:szCs w:val="44"/>
      <w14:textFill>
        <w14:solidFill>
          <w14:schemeClr w14:val="tx1"/>
        </w14:solidFill>
      </w14:textFill>
    </w:rPr>
  </w:style>
  <w:style w:type="character" w:customStyle="1" w:styleId="31">
    <w:name w:val="标题 2 字符"/>
    <w:basedOn w:val="25"/>
    <w:link w:val="4"/>
    <w:qFormat/>
    <w:uiPriority w:val="0"/>
    <w:rPr>
      <w:rFonts w:ascii="Times New Roman" w:hAnsi="Times New Roman" w:eastAsia="宋体" w:cstheme="majorBidi"/>
      <w:b/>
      <w:bCs/>
      <w:color w:val="000000" w:themeColor="text1"/>
      <w:kern w:val="2"/>
      <w:sz w:val="36"/>
      <w:szCs w:val="32"/>
      <w14:textFill>
        <w14:solidFill>
          <w14:schemeClr w14:val="tx1"/>
        </w14:solidFill>
      </w14:textFill>
    </w:rPr>
  </w:style>
  <w:style w:type="character" w:customStyle="1" w:styleId="32">
    <w:name w:val="标题 3 字符"/>
    <w:basedOn w:val="25"/>
    <w:link w:val="5"/>
    <w:qFormat/>
    <w:uiPriority w:val="0"/>
    <w:rPr>
      <w:rFonts w:ascii="Times New Roman" w:hAnsi="Times New Roman" w:eastAsia="宋体" w:cs="宋体"/>
      <w:b/>
      <w:bCs/>
      <w:color w:val="000000" w:themeColor="text1"/>
      <w:kern w:val="2"/>
      <w:sz w:val="32"/>
      <w:szCs w:val="32"/>
      <w14:textFill>
        <w14:solidFill>
          <w14:schemeClr w14:val="tx1"/>
        </w14:solidFill>
      </w14:textFill>
    </w:rPr>
  </w:style>
  <w:style w:type="character" w:customStyle="1" w:styleId="33">
    <w:name w:val="批注文字 字符"/>
    <w:basedOn w:val="25"/>
    <w:link w:val="8"/>
    <w:qFormat/>
    <w:uiPriority w:val="99"/>
    <w:rPr>
      <w:rFonts w:ascii="等线" w:hAnsi="等线" w:eastAsia="等线" w:cs="Times New Roman"/>
    </w:rPr>
  </w:style>
  <w:style w:type="character" w:customStyle="1" w:styleId="34">
    <w:name w:val="日期 字符"/>
    <w:basedOn w:val="25"/>
    <w:link w:val="12"/>
    <w:semiHidden/>
    <w:qFormat/>
    <w:uiPriority w:val="99"/>
    <w:rPr>
      <w:rFonts w:ascii="Calibri" w:hAnsi="Calibri" w:eastAsia="宋体" w:cs="宋体"/>
      <w:kern w:val="2"/>
      <w:sz w:val="28"/>
      <w:szCs w:val="22"/>
    </w:rPr>
  </w:style>
  <w:style w:type="character" w:customStyle="1" w:styleId="35">
    <w:name w:val="批注框文本 字符1"/>
    <w:basedOn w:val="25"/>
    <w:link w:val="13"/>
    <w:semiHidden/>
    <w:qFormat/>
    <w:uiPriority w:val="99"/>
    <w:rPr>
      <w:rFonts w:ascii="Calibri" w:hAnsi="Calibri" w:eastAsia="宋体" w:cs="Times New Roman"/>
      <w:kern w:val="2"/>
      <w:sz w:val="18"/>
      <w:szCs w:val="18"/>
    </w:rPr>
  </w:style>
  <w:style w:type="character" w:customStyle="1" w:styleId="36">
    <w:name w:val="页脚 字符"/>
    <w:basedOn w:val="25"/>
    <w:link w:val="14"/>
    <w:qFormat/>
    <w:uiPriority w:val="99"/>
    <w:rPr>
      <w:sz w:val="18"/>
      <w:szCs w:val="18"/>
    </w:rPr>
  </w:style>
  <w:style w:type="character" w:customStyle="1" w:styleId="37">
    <w:name w:val="页眉 字符"/>
    <w:basedOn w:val="25"/>
    <w:link w:val="15"/>
    <w:qFormat/>
    <w:uiPriority w:val="99"/>
    <w:rPr>
      <w:sz w:val="18"/>
      <w:szCs w:val="18"/>
    </w:rPr>
  </w:style>
  <w:style w:type="character" w:customStyle="1" w:styleId="38">
    <w:name w:val="标题 字符"/>
    <w:basedOn w:val="25"/>
    <w:link w:val="22"/>
    <w:qFormat/>
    <w:uiPriority w:val="0"/>
    <w:rPr>
      <w:rFonts w:ascii="Cambria" w:hAnsi="Cambria" w:eastAsia="宋体" w:cs="Times New Roman"/>
      <w:b/>
      <w:bCs/>
      <w:color w:val="000000" w:themeColor="text1"/>
      <w:kern w:val="2"/>
      <w:sz w:val="44"/>
      <w:szCs w:val="32"/>
      <w14:textFill>
        <w14:solidFill>
          <w14:schemeClr w14:val="tx1"/>
        </w14:solidFill>
      </w14:textFill>
    </w:rPr>
  </w:style>
  <w:style w:type="character" w:customStyle="1" w:styleId="39">
    <w:name w:val="fontstyle01"/>
    <w:basedOn w:val="25"/>
    <w:qFormat/>
    <w:uiPriority w:val="0"/>
    <w:rPr>
      <w:rFonts w:hint="eastAsia" w:ascii="仿宋_GB2312" w:eastAsia="仿宋_GB2312"/>
      <w:color w:val="000000"/>
      <w:sz w:val="28"/>
      <w:szCs w:val="28"/>
    </w:rPr>
  </w:style>
  <w:style w:type="character" w:customStyle="1" w:styleId="40">
    <w:name w:val="fontstyle11"/>
    <w:basedOn w:val="25"/>
    <w:qFormat/>
    <w:uiPriority w:val="0"/>
    <w:rPr>
      <w:rFonts w:hint="default" w:ascii="TimesNewRomanPSMT" w:hAnsi="TimesNewRomanPSMT"/>
      <w:color w:val="000000"/>
      <w:sz w:val="28"/>
      <w:szCs w:val="28"/>
    </w:rPr>
  </w:style>
  <w:style w:type="paragraph" w:customStyle="1" w:styleId="41">
    <w:name w:val="保护规划正文"/>
    <w:basedOn w:val="1"/>
    <w:link w:val="42"/>
    <w:qFormat/>
    <w:uiPriority w:val="0"/>
    <w:pPr>
      <w:spacing w:line="520" w:lineRule="exact"/>
      <w:ind w:firstLine="561"/>
    </w:pPr>
    <w:rPr>
      <w:rFonts w:ascii="仿宋" w:hAnsi="仿宋" w:eastAsia="仿宋" w:cstheme="minorBidi"/>
      <w:sz w:val="24"/>
      <w:szCs w:val="24"/>
    </w:rPr>
  </w:style>
  <w:style w:type="character" w:customStyle="1" w:styleId="42">
    <w:name w:val="保护规划正文 字符"/>
    <w:basedOn w:val="25"/>
    <w:link w:val="41"/>
    <w:qFormat/>
    <w:uiPriority w:val="0"/>
    <w:rPr>
      <w:rFonts w:ascii="仿宋" w:hAnsi="仿宋" w:eastAsia="仿宋"/>
      <w:sz w:val="24"/>
      <w:szCs w:val="24"/>
    </w:rPr>
  </w:style>
  <w:style w:type="paragraph" w:customStyle="1" w:styleId="43">
    <w:name w:val="Table Paragraph"/>
    <w:basedOn w:val="1"/>
    <w:qFormat/>
    <w:uiPriority w:val="1"/>
    <w:pPr>
      <w:autoSpaceDE w:val="0"/>
      <w:autoSpaceDN w:val="0"/>
      <w:spacing w:line="240" w:lineRule="auto"/>
      <w:jc w:val="left"/>
    </w:pPr>
    <w:rPr>
      <w:rFonts w:ascii="宋体" w:hAnsi="宋体"/>
      <w:kern w:val="0"/>
      <w:sz w:val="22"/>
      <w:lang w:eastAsia="en-US"/>
    </w:rPr>
  </w:style>
  <w:style w:type="table" w:customStyle="1" w:styleId="44">
    <w:name w:val="Table Normal"/>
    <w:semiHidden/>
    <w:unhideWhenUsed/>
    <w:qFormat/>
    <w:uiPriority w:val="2"/>
    <w:pPr>
      <w:widowControl w:val="0"/>
      <w:autoSpaceDE w:val="0"/>
      <w:autoSpaceDN w:val="0"/>
    </w:pPr>
    <w:rPr>
      <w:rFonts w:ascii="Times New Roman" w:hAnsi="Times New Roman" w:eastAsia="宋体" w:cs="Times New Roman"/>
      <w:sz w:val="22"/>
      <w:lang w:eastAsia="en-US"/>
    </w:rPr>
    <w:tblPr>
      <w:tblCellMar>
        <w:top w:w="0" w:type="dxa"/>
        <w:left w:w="0" w:type="dxa"/>
        <w:bottom w:w="0" w:type="dxa"/>
        <w:right w:w="0" w:type="dxa"/>
      </w:tblCellMar>
    </w:tblPr>
  </w:style>
  <w:style w:type="paragraph" w:customStyle="1" w:styleId="45">
    <w:name w:val="标题 11"/>
    <w:basedOn w:val="1"/>
    <w:qFormat/>
    <w:uiPriority w:val="1"/>
    <w:pPr>
      <w:autoSpaceDE w:val="0"/>
      <w:autoSpaceDN w:val="0"/>
      <w:spacing w:line="711" w:lineRule="exact"/>
      <w:ind w:left="1893"/>
      <w:jc w:val="left"/>
      <w:outlineLvl w:val="1"/>
    </w:pPr>
    <w:rPr>
      <w:rFonts w:ascii="Arial Unicode MS" w:hAnsi="Arial Unicode MS" w:eastAsia="Arial Unicode MS" w:cs="Arial Unicode MS"/>
      <w:kern w:val="0"/>
      <w:sz w:val="38"/>
      <w:szCs w:val="38"/>
      <w:lang w:eastAsia="en-US"/>
    </w:rPr>
  </w:style>
  <w:style w:type="paragraph" w:styleId="46">
    <w:name w:val="List Paragraph"/>
    <w:basedOn w:val="1"/>
    <w:qFormat/>
    <w:uiPriority w:val="34"/>
    <w:pPr>
      <w:ind w:firstLine="420"/>
    </w:pPr>
  </w:style>
  <w:style w:type="table" w:customStyle="1" w:styleId="47">
    <w:name w:val="网格型1"/>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
    <w:name w:val="网格型2"/>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9">
    <w:name w:val="TOC 标题1"/>
    <w:basedOn w:val="3"/>
    <w:next w:val="1"/>
    <w:unhideWhenUsed/>
    <w:qFormat/>
    <w:uiPriority w:val="39"/>
    <w:pPr>
      <w:widowControl/>
      <w:spacing w:before="240" w:line="259" w:lineRule="auto"/>
      <w:outlineLvl w:val="9"/>
    </w:pPr>
    <w:rPr>
      <w:rFonts w:asciiTheme="majorHAnsi" w:hAnsiTheme="majorHAnsi" w:eastAsiaTheme="majorEastAsia" w:cstheme="majorBidi"/>
      <w:b w:val="0"/>
      <w:bCs w:val="0"/>
      <w:color w:val="2F5597" w:themeColor="accent1" w:themeShade="BF"/>
      <w:kern w:val="0"/>
      <w:szCs w:val="32"/>
    </w:rPr>
  </w:style>
  <w:style w:type="character" w:customStyle="1" w:styleId="50">
    <w:name w:val="未处理的提及1"/>
    <w:basedOn w:val="25"/>
    <w:semiHidden/>
    <w:unhideWhenUsed/>
    <w:qFormat/>
    <w:uiPriority w:val="99"/>
    <w:rPr>
      <w:color w:val="605E5C"/>
      <w:shd w:val="clear" w:color="auto" w:fill="E1DFDD"/>
    </w:rPr>
  </w:style>
  <w:style w:type="table" w:customStyle="1" w:styleId="51">
    <w:name w:val="Table Normal1"/>
    <w:semiHidden/>
    <w:unhideWhenUsed/>
    <w:qFormat/>
    <w:uiPriority w:val="2"/>
    <w:pPr>
      <w:widowControl w:val="0"/>
      <w:autoSpaceDE w:val="0"/>
      <w:autoSpaceDN w:val="0"/>
    </w:pPr>
    <w:rPr>
      <w:rFonts w:ascii="Times New Roman" w:hAnsi="Times New Roman" w:eastAsia="宋体" w:cs="Times New Roman"/>
      <w:sz w:val="22"/>
      <w:lang w:eastAsia="en-US"/>
    </w:rPr>
    <w:tblPr>
      <w:tblCellMar>
        <w:top w:w="0" w:type="dxa"/>
        <w:left w:w="0" w:type="dxa"/>
        <w:bottom w:w="0" w:type="dxa"/>
        <w:right w:w="0" w:type="dxa"/>
      </w:tblCellMar>
    </w:tblPr>
  </w:style>
  <w:style w:type="character" w:customStyle="1" w:styleId="52">
    <w:name w:val="未处理的提及2"/>
    <w:basedOn w:val="25"/>
    <w:semiHidden/>
    <w:unhideWhenUsed/>
    <w:qFormat/>
    <w:uiPriority w:val="99"/>
    <w:rPr>
      <w:color w:val="605E5C"/>
      <w:shd w:val="clear" w:color="auto" w:fill="E1DFDD"/>
    </w:rPr>
  </w:style>
  <w:style w:type="paragraph" w:customStyle="1" w:styleId="53">
    <w:name w:val="_Style 48"/>
    <w:basedOn w:val="1"/>
    <w:next w:val="46"/>
    <w:qFormat/>
    <w:uiPriority w:val="34"/>
    <w:pPr>
      <w:spacing w:line="240" w:lineRule="auto"/>
      <w:ind w:firstLine="420"/>
    </w:pPr>
    <w:rPr>
      <w:rFonts w:cs="Times New Roman"/>
      <w:sz w:val="21"/>
    </w:rPr>
  </w:style>
  <w:style w:type="character" w:customStyle="1" w:styleId="54">
    <w:name w:val="fontstyle21"/>
    <w:basedOn w:val="25"/>
    <w:qFormat/>
    <w:uiPriority w:val="0"/>
    <w:rPr>
      <w:rFonts w:hint="default" w:ascii="Times New Roman" w:hAnsi="Times New Roman" w:cs="Times New Roman"/>
      <w:color w:val="000000"/>
      <w:sz w:val="22"/>
      <w:szCs w:val="22"/>
    </w:rPr>
  </w:style>
  <w:style w:type="character" w:customStyle="1" w:styleId="55">
    <w:name w:val="fontstyle31"/>
    <w:basedOn w:val="25"/>
    <w:qFormat/>
    <w:uiPriority w:val="0"/>
    <w:rPr>
      <w:rFonts w:hint="eastAsia" w:ascii="宋体" w:hAnsi="宋体" w:eastAsia="宋体"/>
      <w:color w:val="000000"/>
      <w:sz w:val="18"/>
      <w:szCs w:val="18"/>
    </w:rPr>
  </w:style>
  <w:style w:type="character" w:customStyle="1" w:styleId="56">
    <w:name w:val="批注框文本 字符"/>
    <w:basedOn w:val="25"/>
    <w:semiHidden/>
    <w:qFormat/>
    <w:uiPriority w:val="99"/>
    <w:rPr>
      <w:rFonts w:ascii="Calibri" w:hAnsi="Calibri" w:eastAsia="仿宋_GB2312" w:cs="宋体"/>
      <w:kern w:val="2"/>
      <w:sz w:val="18"/>
      <w:szCs w:val="18"/>
    </w:rPr>
  </w:style>
  <w:style w:type="character" w:styleId="57">
    <w:name w:val="Placeholder Text"/>
    <w:basedOn w:val="25"/>
    <w:semiHidden/>
    <w:qFormat/>
    <w:uiPriority w:val="99"/>
    <w:rPr>
      <w:color w:val="808080"/>
    </w:rPr>
  </w:style>
  <w:style w:type="table" w:customStyle="1" w:styleId="58">
    <w:name w:val="网格型3"/>
    <w:basedOn w:val="23"/>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59">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60">
    <w:name w:val="_Style 57"/>
    <w:basedOn w:val="1"/>
    <w:next w:val="46"/>
    <w:qFormat/>
    <w:uiPriority w:val="34"/>
    <w:pPr>
      <w:spacing w:line="240" w:lineRule="auto"/>
      <w:ind w:firstLine="420"/>
    </w:pPr>
    <w:rPr>
      <w:rFonts w:cs="Times New Roman"/>
      <w:sz w:val="21"/>
    </w:rPr>
  </w:style>
  <w:style w:type="character" w:customStyle="1" w:styleId="61">
    <w:name w:val="批注框文本 Char"/>
    <w:basedOn w:val="25"/>
    <w:semiHidden/>
    <w:qFormat/>
    <w:uiPriority w:val="99"/>
    <w:rPr>
      <w:sz w:val="18"/>
      <w:szCs w:val="18"/>
    </w:rPr>
  </w:style>
  <w:style w:type="table" w:customStyle="1" w:styleId="62">
    <w:name w:val="网格型4"/>
    <w:basedOn w:val="23"/>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
    <w:name w:val="网格型5"/>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
    <w:name w:val="Table Normal2"/>
    <w:semiHidden/>
    <w:unhideWhenUsed/>
    <w:qFormat/>
    <w:uiPriority w:val="2"/>
    <w:pPr>
      <w:widowControl w:val="0"/>
      <w:autoSpaceDE w:val="0"/>
      <w:autoSpaceDN w:val="0"/>
    </w:pPr>
    <w:rPr>
      <w:rFonts w:ascii="Times New Roman" w:hAnsi="Times New Roman" w:eastAsia="宋体" w:cs="Times New Roman"/>
      <w:sz w:val="22"/>
      <w:lang w:eastAsia="en-US"/>
    </w:rPr>
    <w:tblPr>
      <w:tblCellMar>
        <w:top w:w="0" w:type="dxa"/>
        <w:left w:w="0" w:type="dxa"/>
        <w:bottom w:w="0" w:type="dxa"/>
        <w:right w:w="0" w:type="dxa"/>
      </w:tblCellMar>
    </w:tblPr>
  </w:style>
  <w:style w:type="table" w:customStyle="1" w:styleId="65">
    <w:name w:val="网格型11"/>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6">
    <w:name w:val="网格型21"/>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
    <w:name w:val="Table Normal11"/>
    <w:semiHidden/>
    <w:unhideWhenUsed/>
    <w:qFormat/>
    <w:uiPriority w:val="2"/>
    <w:pPr>
      <w:widowControl w:val="0"/>
      <w:autoSpaceDE w:val="0"/>
      <w:autoSpaceDN w:val="0"/>
    </w:pPr>
    <w:rPr>
      <w:rFonts w:ascii="Times New Roman" w:hAnsi="Times New Roman" w:eastAsia="宋体" w:cs="Times New Roman"/>
      <w:sz w:val="22"/>
      <w:lang w:eastAsia="en-US"/>
    </w:rPr>
    <w:tblPr>
      <w:tblCellMar>
        <w:top w:w="0" w:type="dxa"/>
        <w:left w:w="0" w:type="dxa"/>
        <w:bottom w:w="0" w:type="dxa"/>
        <w:right w:w="0" w:type="dxa"/>
      </w:tblCellMar>
    </w:tblPr>
  </w:style>
  <w:style w:type="table" w:customStyle="1" w:styleId="68">
    <w:name w:val="网格型31"/>
    <w:basedOn w:val="23"/>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9">
    <w:name w:val="网格型41"/>
    <w:basedOn w:val="23"/>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
    <w:name w:val="网格型6"/>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
    <w:name w:val="网格型7"/>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8"/>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
    <w:name w:val="网格型9"/>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4">
    <w:name w:val="TOC Heading"/>
    <w:basedOn w:val="3"/>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75">
    <w:name w:val="Unresolved Mention"/>
    <w:basedOn w:val="25"/>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emf"/><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8BDBC-4B3E-44DB-BBCB-04B9EE39EF94}">
  <ds:schemaRefs/>
</ds:datastoreItem>
</file>

<file path=docProps/app.xml><?xml version="1.0" encoding="utf-8"?>
<Properties xmlns="http://schemas.openxmlformats.org/officeDocument/2006/extended-properties" xmlns:vt="http://schemas.openxmlformats.org/officeDocument/2006/docPropsVTypes">
  <Template>Normal</Template>
  <Pages>135</Pages>
  <Words>9503</Words>
  <Characters>54169</Characters>
  <Lines>451</Lines>
  <Paragraphs>127</Paragraphs>
  <TotalTime>6</TotalTime>
  <ScaleCrop>false</ScaleCrop>
  <LinksUpToDate>false</LinksUpToDate>
  <CharactersWithSpaces>63545</CharactersWithSpaces>
  <Application>WPS Office_12.1.0.15324_F1E327BC-269C-435d-A152-05C5408002CA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2021-07-19T07:52:00Z</dcterms:created>
  <dc:creator>公 静</dc:creator>
  <cp:lastModifiedBy>WPS_1675821129</cp:lastModifiedBy>
  <dcterms:modified xsi:type="dcterms:W3CDTF">2023-08-09T02:35:44Z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2052-12.1.0.15324</vt:lpwstr>
  </property>
  <property fmtid="{D5CDD505-2E9C-101B-9397-08002B2CF9AE}" pid="3" name="ICV">
    <vt:lpwstr>1EF0344D651248A4A0AED2F13E55457E_13</vt:lpwstr>
  </property>
</Properties>
</file>