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44"/>
          <w:szCs w:val="44"/>
          <w:lang w:eastAsia="zh-CN"/>
        </w:rPr>
        <w:t>抚远市人民政府对第一类被考核单位</w:t>
      </w:r>
      <w:r>
        <w:rPr>
          <w:rFonts w:hint="default" w:ascii="Times New Roman" w:hAnsi="Times New Roman" w:eastAsia="方正小标宋简体" w:cs="Times New Roman"/>
          <w:b w:val="0"/>
          <w:bCs/>
          <w:spacing w:val="-8"/>
          <w:sz w:val="44"/>
          <w:szCs w:val="44"/>
          <w:lang w:eastAsia="zh-CN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44"/>
          <w:szCs w:val="44"/>
          <w:lang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44"/>
          <w:szCs w:val="44"/>
          <w:lang w:eastAsia="zh-CN"/>
        </w:rPr>
        <w:t>法治政府建设考核明细表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（总分</w:t>
      </w:r>
      <w:r>
        <w:rPr>
          <w:rFonts w:hint="default" w:ascii="Times New Roman" w:hAnsi="Times New Roman" w:eastAsia="楷体" w:cs="Times New Roman"/>
          <w:sz w:val="32"/>
          <w:szCs w:val="32"/>
        </w:rPr>
        <w:t>100</w:t>
      </w:r>
      <w:r>
        <w:rPr>
          <w:rFonts w:hint="eastAsia" w:ascii="楷体" w:hAnsi="楷体" w:eastAsia="楷体"/>
          <w:sz w:val="32"/>
          <w:szCs w:val="32"/>
        </w:rPr>
        <w:t>分）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375"/>
        <w:gridCol w:w="3619"/>
        <w:gridCol w:w="3322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54" w:type="dxa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任务分类</w:t>
            </w:r>
          </w:p>
        </w:tc>
        <w:tc>
          <w:tcPr>
            <w:tcW w:w="2375" w:type="dxa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主要任务</w:t>
            </w:r>
          </w:p>
        </w:tc>
        <w:tc>
          <w:tcPr>
            <w:tcW w:w="3619" w:type="dxa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核查任务</w:t>
            </w:r>
          </w:p>
        </w:tc>
        <w:tc>
          <w:tcPr>
            <w:tcW w:w="3322" w:type="dxa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考核内容及标准</w:t>
            </w:r>
          </w:p>
        </w:tc>
        <w:tc>
          <w:tcPr>
            <w:tcW w:w="1912" w:type="dxa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考核单位及方式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54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一、依法全面履行政府职能</w:t>
            </w:r>
          </w:p>
        </w:tc>
        <w:tc>
          <w:tcPr>
            <w:tcW w:w="237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1. 创新社会治理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）国家、省关于社会治安综合治理领导责任制的规定全面落实。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市综治办负责确定考核内容及标准，扣分不超过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市综治办负责提出意见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）我市社会应急管理相关办法全面落实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市政府办公室负责确定考核内容及标准，扣分不超过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市政府办公室负责提出意见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2. 强化生态环境保护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）环境信息公开制度、环境影响评价制度和污染排放总量控制度得到严格执行。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市环保局负责确定具体考核内容及标准，扣分不超过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市环保局负责提出意见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）《抚远市人民政府办公室关于印发抚远市大气污染防治专项行动方案（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2016—2018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）的通知》全面实施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环保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局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负责确定具体考核内容及标准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，扣分不超过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环保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局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负责提出意见。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54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完善依法行政制度体系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二、完善依法行政制度体系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3. 加强规范性文件监督管理，严格设定权限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（5）制定机关制定的规范性文件，其办公机构应当统一进行登记、使用专用文号统一编号、统一印发。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制定机关未建立“三统一”制度的，扣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2分。制定机关的办公机构在实际工作中未实行“三统一”制度的，扣2分。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考核组查阅相关制度、规范性文件登记情况及文件文本。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3. 加强规范性文件监督管理，严格设定权限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）制发规范性文件符合法定权限和程序。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制发的规范性文件不符合法定权限的，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乡镇政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分；制发以及公布规范性文件不符合法定程序的，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政府每件扣0.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分；存在规范性文件未向社会公布即作为行政管理依据的，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政府每件扣0.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考核组查阅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政府规范性文件制发目录、原件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，市政府法制机构对乡镇政府报备规范性文件的审查意见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；抽查相关材料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规范性文件无违法内容。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政府制发的规范性文件存在违法内容的，每件扣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考核组查阅乡镇政府规范性文件制发目录、原件，市政府法制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  <w:t>办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对乡镇政府报备规范性文件的审查意见；抽查相关材料。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所有规范性文件纳入备案审查范围，做到有件必备、有错必纠。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规范性文件存在漏备或者未按照时限要求备案的，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政府每件扣0.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分；规范性文件存在问题未按照备案审查机关及其法制机构要求纠正的，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考核组查阅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政府制发文件目录及原件、对问题文件的纠正意见、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市政府法制机构提出的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审查意见；抽查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  <w:t>）按要求开展规范性文件清理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未按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2017年度印发的《抚远市规范性文件清理工作方案》（抚政办发〔2017〕37号）要求开展清理工作的，扣2分。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考核组查阅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eastAsia="zh-CN"/>
              </w:rPr>
              <w:t>清理工作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en-US" w:eastAsia="zh-CN"/>
              </w:rPr>
              <w:t>相关材料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54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三、推进行政决策科学化、民主化、法治化</w:t>
            </w:r>
          </w:p>
        </w:tc>
        <w:tc>
          <w:tcPr>
            <w:tcW w:w="2375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4. 增强公众参与实效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  <w:t>）建立公众参与决策平台。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乡镇政府未建立公众参与决策平台的，扣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eastAsia="zh-CN"/>
              </w:rPr>
              <w:t>考核组查阅公众参与决策平台运行情况。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）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建立并推行文化教育、医疗卫生、资源开发、环境保护、公用事业等重大民生决策事项民意调查制度。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乡镇政府未建立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文化教育、医疗卫生、资源开发、环境保护、公用事业等重大民生决策事项民意调查制度的，扣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考核组查阅相关制度建设情况。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54" w:type="dxa"/>
            <w:vMerge w:val="continue"/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依法应当听证以及涉及重大公共利益和群众切身利益的决策事项，按照规定开展听证。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作出重大行政决策未按照规定开展听证的，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考核组查阅听证会通知、记录等佐证材料。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54" w:type="dxa"/>
            <w:vMerge w:val="continue"/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2375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5. 坚持集体讨论决定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）重大行政决策经集体讨论决定。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作出重大行政决策未经过集体讨论决定的，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分；集体讨论情况和决定未按要求如实记录、完整存档的，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乡镇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政府每件扣0.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考核组查阅重大决策集体讨论的会议记录及相关档案资料。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54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四、强化对行政权力的制约和监督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四、强化对行政权力的制约和监督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四、强化对行政权力的制约和监督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6. 健全行政权力运行制约和监督体系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）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对违法行政行为严肃问责。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未按规定对违法行政行为严肃问责的，乡镇政府每件扣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1分，所属部门每件扣0.5分。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考核组从有权认定违法行政行为的法定机关收集相关信息；受理有关投诉举报；与相对人座谈。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restart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自觉接受党内监督、人大监督、民主监督、司法监督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自觉接受党内监督、人大监督、民主监督、司法监督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7. 自觉接受党内监督、人大监督、民主监督、司法监督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）中央八项规定和省委、省政府九项规定严格落实，违法违纪行为得到严肃处理。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乡镇政府及其部门（含相关人员）存在违反中央八项规定和省委、省政府九项规定等问题的，乡镇政府每件扣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1分，所属部门每件扣0.5分。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考核组从纪检监察机关收集相关信息。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）持续整顿工作作风。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乡镇政府及其部门（含相关人员）存在思想僵化、标准不高、效率低下、担当不足、纪律松弛等问题的，乡镇政府每件扣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1分，所属部门每件扣0.5分；被有关监督机关查处或通报的，乡镇政府每件加扣1分，所属部门每件加扣0.5分。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考核组从有关监督机关及媒体收集相关信息。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）按规定报备乡镇政府规范性文件。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未按规定报备乡镇政府规范性文件的，每件扣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0.5分。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考核组查阅向乡镇人大机关报备乡镇政府规范性文件的目录；从本级人大机关收集相关信息。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）支持人民法院依法受理行政案件。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存在行政机关干预和阻碍人民法院受理行政案件的，每件扣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考核组从人民法院收集相关信息。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）认真执行行政机关负责人出庭应诉有关制度。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被诉行政机关负责人未按《抚远市行政机关负责人出庭应诉规定》（抚政办发〔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2017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39号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）有关规定出庭应诉的，乡镇政府每件扣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考核组从人民法院收集相关信息。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）具体行政行为经司法审查符合规定。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因具体行政行为违法或者不当，且无正当理由，导致行政应诉败诉的，乡镇政府每件扣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考核组从人民法院收集相关信息，听取被考核单位对败诉理由的陈述。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）认真执行人民法院生效判决、裁定和调解书。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拒不执行法院生效判决、裁定和调解书的，乡镇政府每件扣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考核组查阅乡镇政府落实法院生效裁判、裁定和调解书的有关资料；从人民法院收集相关信息。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8. 完善社会监督和舆论监督机制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）乡镇举报箱、电子信箱、热线电话等监督渠道畅通，行政机关违法行政行为投诉举报登记制度完善，群众投诉举报、反应问题得到依法及时处理。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举报箱、电子信箱、热线电话等监督渠道不畅通的，乡镇政府扣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1分；行政机关违法行政行为投诉举报制度未建立的，乡镇政府扣1分。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考核组现场检查；查阅有关制度文件。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依法有效化解社会矛盾纠纷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五、依法有效化解社会矛盾纠纷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9. 健全依法化解解纷机制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）无食品药品安全、安全生产、生态环境等方面重大事故。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市市场监督管理局、市安监局、市环保局、市委网信办、市综治办按职责分工确定具体考核内容及标准，每个领域扣分不超过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市市场监督管理局、市安监局、市环保局、市委网信办、市综治办分别负责提出意见。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10. 加强行政复议工作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）行政复议决定依法得到履行。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乡镇政府不履行或者无正当理由拖延履行行政复议决定的，每件扣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2分；经责令履行仍拒不履行行政复议决定的，每件加扣1分。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考核组查阅乡镇政府已办结行政复议案件相关档案材料。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11. 改革信访工作制度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）信访事项依法按程序受理。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市信访局负责确定具体考核内容及标准，扣分不超过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市信访局负责提出意见。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11. 改革信访工作制度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）完善信访工作责任落实机制，推动信访问题及时就地解决。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市信访局负责确定具体考核内容及标准，扣分不超过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市信访局负责提出意见。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全面提高政府工作人员法治思维和依法行政能力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六、全面提高政府工作人员法治思维和依法行政能力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12. 加强对政府工作人员的法制教育培训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）按照要求开展法治教育培训。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乡镇政府年度内未举办领导干部法制专题培训班的，扣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2分；乡镇政府领导班子年度内举办法治专题讲座少于一期的，扣2分；各乡镇未按要求举办《抚远市法治政府建设实施方案（2016—2020年）》专题培训的，扣2分。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考核组查阅培训通知、参训人员名单及影像资料等。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13. 注重发挥法律顾问和法律专家的咨询论证、审核把关作用。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）法律顾问工作制度健全完善。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未按照市政府办公室《县政府建立法律顾问制度的意见》（抚政办发〔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17号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）规定，落实中央、我省、我市的部署要求，健全完善法律顾问工作制度的，乡镇政府扣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考核组查阅乡镇政府制定的政府法律顾问工作制度。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）按规定设立法律顾问。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乡镇政府未按规定设立法律顾问并开展工作的，扣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考核组查阅乡镇政府设立法律顾问的相关文件及聘用合同等。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）按规定将法律顾问经费列入财政预算。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乡镇政府未严格按照规定，将法律顾问经费列入财政预算的，扣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0.5分。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考核组查阅乡镇政府将法律顾问经费列入财政预算的相关材料。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restart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14. 注重通过法治实践提高政府工作人员法治思维和依法行政能力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）政府工作人员特别是领导干部带头尊法学法守法用法，坚持依法办事，带头执行各项规章制度，树立制度规则意识，促进法治意识形成。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政府工作人员不依法办事、不执行各项规章制度（不依法履行职责除外）的，每件扣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考核租向纪检监察、公安、人民法院等机关收集相关信息。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375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）有关起草或组织实施单位对新出台的重要地方性法规、政府规章和规范性文件，及时进行解读。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乡镇政府起草或者组织实施单位对新出台的重要地方性法规、政府规章和规范性文件，未及时进行解读的，每件扣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考核组查阅网络等媒体解读新出台的重要地方性法规、政府规章和规范性文件的佐证材料。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七、组织保障和落实机制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15. 落实第一责任人责任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）乡镇政府按要求报告法治政府建设情况。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乡镇政府未按要求向同级党委、人大机关和市政府报告年度法治政府建设情况的，每少一个扣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1分。超期上报或报告未按要求向社会公开的，乡镇政府每个问题扣0.5分。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考核组查阅有关报告、媒体公布情况。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八、抽查事项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16. 对核查任务以外的任务进行抽查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）认真完成年度核查任务以外的其他任务。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乡镇政府未按要求完成相关工作的，每项扣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考核组抽查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10项年度核查任务以外的其它任务完成情况。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九、法治政府建设整改通知书落实情况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17. 对法治政府建设整改通知书有关整改事项进行核查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）按照整改通知书要求完成问题整改。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无正当理由，对《抚远市人民政府法治政府建设考核整改通知书》所列问题未按要求时限完成整改的，每个扣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2分。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考核组逐一核查整改事项完成情况。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754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十、外部评议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18. 普通公众意见</w:t>
            </w:r>
          </w:p>
        </w:tc>
        <w:tc>
          <w:tcPr>
            <w:tcW w:w="361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  <w:t>）普通社会公众对法治政府建设状况评价。</w:t>
            </w:r>
          </w:p>
        </w:tc>
        <w:tc>
          <w:tcPr>
            <w:tcW w:w="332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市政府法制办委托有关社会机构对普通社会公众进行问卷调查。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  <w:t>根据问卷调查满意率确定分值。</w:t>
            </w:r>
          </w:p>
        </w:tc>
      </w:tr>
    </w:tbl>
    <w:p>
      <w:pPr>
        <w:widowControl/>
        <w:snapToGrid w:val="0"/>
        <w:ind w:left="861" w:leftChars="10" w:hanging="840" w:hangingChars="4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eastAsia" w:ascii="黑体" w:hAnsi="黑体" w:eastAsia="黑体" w:cs="黑体"/>
        </w:rPr>
        <w:t>说明：</w:t>
      </w:r>
      <w:r>
        <w:rPr>
          <w:rFonts w:hint="default" w:ascii="Times New Roman" w:hAnsi="Times New Roman" w:eastAsia="仿宋_GB2312" w:cs="Times New Roman"/>
        </w:rPr>
        <w:t>1.考核内容根据《</w:t>
      </w:r>
      <w:r>
        <w:rPr>
          <w:rFonts w:hint="default" w:ascii="Times New Roman" w:hAnsi="Times New Roman" w:eastAsia="仿宋_GB2312" w:cs="Times New Roman"/>
          <w:lang w:eastAsia="zh-CN"/>
        </w:rPr>
        <w:t>抚远市</w:t>
      </w:r>
      <w:r>
        <w:rPr>
          <w:rFonts w:hint="default" w:ascii="Times New Roman" w:hAnsi="Times New Roman" w:eastAsia="仿宋_GB2312" w:cs="Times New Roman"/>
        </w:rPr>
        <w:t>法治政府建设实施方案（2016</w:t>
      </w:r>
      <w:r>
        <w:rPr>
          <w:rFonts w:hint="eastAsia" w:ascii="Times New Roman" w:hAnsi="Times New Roman" w:eastAsia="仿宋_GB2312" w:cs="Times New Roman"/>
          <w:lang w:eastAsia="zh-CN"/>
        </w:rPr>
        <w:t>—</w:t>
      </w:r>
      <w:r>
        <w:rPr>
          <w:rFonts w:hint="default" w:ascii="Times New Roman" w:hAnsi="Times New Roman" w:eastAsia="仿宋_GB2312" w:cs="Times New Roman"/>
        </w:rPr>
        <w:t>2020年）》关于</w:t>
      </w:r>
      <w:r>
        <w:rPr>
          <w:rFonts w:hint="eastAsia" w:ascii="Times New Roman" w:hAnsi="Times New Roman" w:eastAsia="仿宋_GB2312" w:cs="Times New Roman"/>
          <w:lang w:eastAsia="zh-CN"/>
        </w:rPr>
        <w:t>各</w:t>
      </w:r>
      <w:r>
        <w:rPr>
          <w:rFonts w:hint="default" w:ascii="Times New Roman" w:hAnsi="Times New Roman" w:eastAsia="仿宋_GB2312" w:cs="Times New Roman"/>
          <w:lang w:eastAsia="zh-CN"/>
        </w:rPr>
        <w:t>乡镇</w:t>
      </w:r>
      <w:r>
        <w:rPr>
          <w:rFonts w:hint="default" w:ascii="Times New Roman" w:hAnsi="Times New Roman" w:eastAsia="仿宋_GB2312" w:cs="Times New Roman"/>
        </w:rPr>
        <w:t>政府201</w:t>
      </w:r>
      <w:r>
        <w:rPr>
          <w:rFonts w:hint="eastAsia" w:ascii="Times New Roman" w:hAnsi="Times New Roman" w:eastAsia="仿宋_GB2312" w:cs="Times New Roman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</w:rPr>
        <w:t>年度任务及</w:t>
      </w:r>
      <w:r>
        <w:rPr>
          <w:rFonts w:hint="eastAsia" w:ascii="Times New Roman" w:hAnsi="Times New Roman" w:eastAsia="仿宋_GB2312" w:cs="Times New Roman"/>
          <w:lang w:eastAsia="zh-CN"/>
        </w:rPr>
        <w:t>在推进法治政府建设过程中必须履行的法定职责和</w:t>
      </w:r>
      <w:r>
        <w:rPr>
          <w:rFonts w:hint="default" w:ascii="Times New Roman" w:hAnsi="Times New Roman" w:eastAsia="仿宋_GB2312" w:cs="Times New Roman"/>
        </w:rPr>
        <w:t>要求确定，本表所列核查任务完成情况将逐项核查，被考核单位应逐项说明完成情况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  <w:r>
        <w:rPr>
          <w:rFonts w:hint="default" w:ascii="Times New Roman" w:hAnsi="Times New Roman" w:eastAsia="仿宋_GB2312" w:cs="Times New Roman"/>
        </w:rPr>
        <w:t>核查任务以外其他任务为抽查任务，考核组抽查其中10项任务完成情况。</w:t>
      </w:r>
    </w:p>
    <w:p>
      <w:pPr>
        <w:widowControl/>
        <w:snapToGrid w:val="0"/>
        <w:ind w:left="861" w:leftChars="310" w:hanging="210" w:hangingChars="1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2.考核采取扣分制，根据各项考核指标完成情况，相应扣分，累计不超过所对应任务部分的总分值；</w:t>
      </w:r>
      <w:r>
        <w:rPr>
          <w:rFonts w:hint="eastAsia" w:ascii="Times New Roman" w:hAnsi="Times New Roman" w:eastAsia="仿宋_GB2312" w:cs="Times New Roman"/>
          <w:lang w:eastAsia="zh-CN"/>
        </w:rPr>
        <w:t>对于存在问题情节严重的，在原有扣分标准基础上，可酌情加扣</w:t>
      </w:r>
      <w:r>
        <w:rPr>
          <w:rFonts w:hint="eastAsia" w:ascii="Times New Roman" w:hAnsi="Times New Roman" w:eastAsia="仿宋_GB2312" w:cs="Times New Roman"/>
          <w:lang w:val="en-US" w:eastAsia="zh-CN"/>
        </w:rPr>
        <w:t>50%—100%的分值，加扣分值不受所对应任务部分的总分值的限制；有关专项考核所扣分值，不超过该项任务所被赋予的分值；</w:t>
      </w:r>
      <w:r>
        <w:rPr>
          <w:rFonts w:hint="default" w:ascii="Times New Roman" w:hAnsi="Times New Roman" w:eastAsia="仿宋_GB2312" w:cs="Times New Roman"/>
        </w:rPr>
        <w:t>对同一问题在不同考核项目中均有扣分的，不重复扣分。</w:t>
      </w:r>
    </w:p>
    <w:p>
      <w:pPr>
        <w:widowControl/>
        <w:snapToGrid w:val="0"/>
        <w:ind w:left="861" w:leftChars="310" w:hanging="210" w:hangingChars="100"/>
        <w:jc w:val="left"/>
        <w:rPr>
          <w:rFonts w:hint="default" w:ascii="Times New Roman" w:hAnsi="Times New Roman" w:eastAsia="仿宋_GB2312" w:cs="Times New Roman"/>
          <w:u w:val="none"/>
        </w:rPr>
      </w:pPr>
      <w:r>
        <w:rPr>
          <w:rFonts w:hint="default" w:ascii="Times New Roman" w:hAnsi="Times New Roman" w:eastAsia="仿宋_GB2312" w:cs="Times New Roman"/>
        </w:rPr>
        <w:t>3.</w:t>
      </w:r>
      <w:r>
        <w:rPr>
          <w:rFonts w:hint="default" w:ascii="Times New Roman" w:hAnsi="Times New Roman" w:eastAsia="仿宋_GB2312" w:cs="Times New Roman"/>
          <w:u w:val="none"/>
        </w:rPr>
        <w:t>所列扣分事项为对</w:t>
      </w:r>
      <w:r>
        <w:rPr>
          <w:rFonts w:hint="default" w:ascii="Times New Roman" w:hAnsi="Times New Roman" w:eastAsia="仿宋_GB2312" w:cs="Times New Roman"/>
          <w:u w:val="none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u w:val="none"/>
        </w:rPr>
        <w:t>政府的扣分标准，</w:t>
      </w:r>
      <w:r>
        <w:rPr>
          <w:rFonts w:hint="default" w:ascii="Times New Roman" w:hAnsi="Times New Roman" w:eastAsia="仿宋_GB2312" w:cs="Times New Roman"/>
          <w:u w:val="none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u w:val="none"/>
        </w:rPr>
        <w:t>政府及工作部门存在上述扣分情形的，每发现一起，按上述评分标准的50%扣除</w:t>
      </w:r>
      <w:r>
        <w:rPr>
          <w:rFonts w:hint="default" w:ascii="Times New Roman" w:hAnsi="Times New Roman" w:eastAsia="仿宋_GB2312" w:cs="Times New Roman"/>
          <w:u w:val="none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u w:val="none"/>
        </w:rPr>
        <w:t>政府分数；</w:t>
      </w:r>
      <w:r>
        <w:rPr>
          <w:rFonts w:hint="eastAsia" w:ascii="Times New Roman" w:hAnsi="Times New Roman" w:eastAsia="仿宋_GB2312" w:cs="Times New Roman"/>
          <w:u w:val="none"/>
          <w:lang w:eastAsia="zh-CN"/>
        </w:rPr>
        <w:t>被考核单位在落实规范性文件、行政复议等方面监督制度过程中，主动纠正有关问题的，原则上不对被考核单位扣分，但特殊情况除外；</w:t>
      </w:r>
      <w:r>
        <w:rPr>
          <w:rFonts w:hint="default" w:ascii="Times New Roman" w:hAnsi="Times New Roman" w:eastAsia="仿宋_GB2312" w:cs="Times New Roman"/>
          <w:u w:val="none"/>
        </w:rPr>
        <w:t>在考核工作中，发现被考核单位本年度之前存在相关问题仍未纠正的，按现标准扣分；往年</w:t>
      </w:r>
      <w:r>
        <w:rPr>
          <w:rFonts w:hint="eastAsia" w:ascii="Times New Roman" w:hAnsi="Times New Roman" w:eastAsia="仿宋_GB2312" w:cs="Times New Roman"/>
          <w:u w:val="none"/>
          <w:lang w:eastAsia="zh-CN"/>
        </w:rPr>
        <w:t>应完成任务</w:t>
      </w:r>
      <w:r>
        <w:rPr>
          <w:rFonts w:hint="default" w:ascii="Times New Roman" w:hAnsi="Times New Roman" w:eastAsia="仿宋_GB2312" w:cs="Times New Roman"/>
          <w:u w:val="none"/>
        </w:rPr>
        <w:t>未完成的，也相应扣分。</w:t>
      </w:r>
    </w:p>
    <w:p>
      <w:pPr>
        <w:widowControl/>
        <w:snapToGrid w:val="0"/>
        <w:ind w:left="441" w:leftChars="210" w:firstLine="210" w:firstLineChars="1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4.</w:t>
      </w:r>
      <w:r>
        <w:rPr>
          <w:rFonts w:hint="eastAsia" w:ascii="Times New Roman" w:hAnsi="Times New Roman" w:eastAsia="仿宋_GB2312" w:cs="Times New Roman"/>
          <w:lang w:eastAsia="zh-CN"/>
        </w:rPr>
        <w:t>按照公平、公正原则，根据乡镇人口、经济总量、干部队伍人数等基础数据，对发现的有关问题，引入按比例扣分调整机制。</w:t>
      </w:r>
    </w:p>
    <w:p>
      <w:pPr>
        <w:widowControl/>
        <w:snapToGrid w:val="0"/>
        <w:ind w:left="441" w:leftChars="210" w:firstLine="210" w:firstLineChars="1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</w:rPr>
        <w:t>由有关专项考核责任部门负责提出扣分意见的考核事项，</w:t>
      </w:r>
      <w:r>
        <w:rPr>
          <w:rFonts w:hint="default" w:ascii="Times New Roman" w:hAnsi="Times New Roman" w:eastAsia="仿宋_GB2312" w:cs="Times New Roman"/>
          <w:lang w:eastAsia="zh-CN"/>
        </w:rPr>
        <w:t>市</w:t>
      </w:r>
      <w:r>
        <w:rPr>
          <w:rFonts w:hint="default" w:ascii="Times New Roman" w:hAnsi="Times New Roman" w:eastAsia="仿宋_GB2312" w:cs="Times New Roman"/>
        </w:rPr>
        <w:t>政府法制办组织集中考核发现扣分因素的，</w:t>
      </w:r>
      <w:r>
        <w:rPr>
          <w:rFonts w:hint="eastAsia" w:ascii="Times New Roman" w:hAnsi="Times New Roman" w:eastAsia="仿宋_GB2312" w:cs="Times New Roman"/>
          <w:lang w:eastAsia="zh-CN"/>
        </w:rPr>
        <w:t>也相应予以</w:t>
      </w:r>
      <w:r>
        <w:rPr>
          <w:rFonts w:hint="default" w:ascii="Times New Roman" w:hAnsi="Times New Roman" w:eastAsia="仿宋_GB2312" w:cs="Times New Roman"/>
        </w:rPr>
        <w:t>扣分。</w:t>
      </w: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</w:rPr>
        <w:t>本方案印发后，</w:t>
      </w:r>
      <w:r>
        <w:rPr>
          <w:rFonts w:hint="eastAsia" w:ascii="Times New Roman" w:hAnsi="Times New Roman" w:eastAsia="仿宋_GB2312" w:cs="Times New Roman"/>
          <w:lang w:eastAsia="zh-CN"/>
        </w:rPr>
        <w:t>中共</w:t>
      </w:r>
      <w:r>
        <w:rPr>
          <w:rFonts w:hint="default" w:ascii="Times New Roman" w:hAnsi="Times New Roman" w:eastAsia="仿宋_GB2312" w:cs="Times New Roman"/>
        </w:rPr>
        <w:t>中央、国务院及省委、省政府</w:t>
      </w:r>
      <w:r>
        <w:rPr>
          <w:rFonts w:hint="default" w:ascii="Times New Roman" w:hAnsi="Times New Roman" w:eastAsia="仿宋_GB2312" w:cs="Times New Roman"/>
          <w:lang w:eastAsia="zh-CN"/>
        </w:rPr>
        <w:t>和市委、市政府</w:t>
      </w:r>
      <w:r>
        <w:rPr>
          <w:rFonts w:hint="default" w:ascii="Times New Roman" w:hAnsi="Times New Roman" w:eastAsia="仿宋_GB2312" w:cs="Times New Roman"/>
        </w:rPr>
        <w:t>新</w:t>
      </w:r>
      <w:r>
        <w:rPr>
          <w:rFonts w:hint="eastAsia" w:ascii="Times New Roman" w:hAnsi="Times New Roman" w:eastAsia="仿宋_GB2312" w:cs="Times New Roman"/>
          <w:lang w:eastAsia="zh-CN"/>
        </w:rPr>
        <w:t>部署</w:t>
      </w:r>
      <w:r>
        <w:rPr>
          <w:rFonts w:hint="default" w:ascii="Times New Roman" w:hAnsi="Times New Roman" w:eastAsia="仿宋_GB2312" w:cs="Times New Roman"/>
          <w:lang w:eastAsia="zh-CN"/>
        </w:rPr>
        <w:t>乡镇</w:t>
      </w:r>
      <w:r>
        <w:rPr>
          <w:rFonts w:hint="default" w:ascii="Times New Roman" w:hAnsi="Times New Roman" w:eastAsia="仿宋_GB2312" w:cs="Times New Roman"/>
        </w:rPr>
        <w:t>政府201</w:t>
      </w:r>
      <w:r>
        <w:rPr>
          <w:rFonts w:hint="eastAsia" w:ascii="Times New Roman" w:hAnsi="Times New Roman" w:eastAsia="仿宋_GB2312" w:cs="Times New Roman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</w:rPr>
        <w:t>年度应当完成的法治政府建设任务需要追</w:t>
      </w: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</w:rPr>
        <w:t>加考核内容</w:t>
      </w:r>
      <w:r>
        <w:rPr>
          <w:rFonts w:hint="eastAsia" w:ascii="Times New Roman" w:hAnsi="Times New Roman" w:eastAsia="仿宋_GB2312" w:cs="Times New Roman"/>
          <w:lang w:eastAsia="zh-CN"/>
        </w:rPr>
        <w:t>及标准需要调整的，</w:t>
      </w:r>
      <w:r>
        <w:rPr>
          <w:rFonts w:hint="default" w:ascii="Times New Roman" w:hAnsi="Times New Roman" w:eastAsia="仿宋_GB2312" w:cs="Times New Roman"/>
        </w:rPr>
        <w:t>由</w:t>
      </w:r>
      <w:r>
        <w:rPr>
          <w:rFonts w:hint="default" w:ascii="Times New Roman" w:hAnsi="Times New Roman" w:eastAsia="仿宋_GB2312" w:cs="Times New Roman"/>
          <w:lang w:eastAsia="zh-CN"/>
        </w:rPr>
        <w:t>市</w:t>
      </w:r>
      <w:r>
        <w:rPr>
          <w:rFonts w:hint="default" w:ascii="Times New Roman" w:hAnsi="Times New Roman" w:eastAsia="仿宋_GB2312" w:cs="Times New Roman"/>
        </w:rPr>
        <w:t>政府法制办请示</w:t>
      </w:r>
      <w:r>
        <w:rPr>
          <w:rFonts w:hint="default" w:ascii="Times New Roman" w:hAnsi="Times New Roman" w:eastAsia="仿宋_GB2312" w:cs="Times New Roman"/>
          <w:lang w:eastAsia="zh-CN"/>
        </w:rPr>
        <w:t>市</w:t>
      </w:r>
      <w:r>
        <w:rPr>
          <w:rFonts w:hint="default" w:ascii="Times New Roman" w:hAnsi="Times New Roman" w:eastAsia="仿宋_GB2312" w:cs="Times New Roman"/>
        </w:rPr>
        <w:t>政府有关领导同意后在开展实地考核时具体确定，并另行通知。</w:t>
      </w:r>
    </w:p>
    <w:p>
      <w:pPr>
        <w:widowControl/>
        <w:snapToGrid w:val="0"/>
        <w:jc w:val="left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   7.考核机关发现本方案扣分情形以外的，被考核单位及其工作人员在履行法定职责和义务中存在的其他问题，将参照本方案有关标准</w:t>
      </w:r>
    </w:p>
    <w:p>
      <w:pPr>
        <w:widowControl/>
        <w:snapToGrid w:val="0"/>
        <w:jc w:val="left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    扣分。</w:t>
      </w:r>
    </w:p>
    <w:p>
      <w:pPr>
        <w:jc w:val="both"/>
        <w:rPr>
          <w:rFonts w:hint="eastAsia" w:ascii="楷体" w:hAnsi="楷体" w:eastAsia="楷体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5728"/>
    <w:multiLevelType w:val="singleLevel"/>
    <w:tmpl w:val="5979572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7958C2"/>
    <w:multiLevelType w:val="singleLevel"/>
    <w:tmpl w:val="597958C2"/>
    <w:lvl w:ilvl="0" w:tentative="0">
      <w:start w:val="7"/>
      <w:numFmt w:val="decimal"/>
      <w:suff w:val="space"/>
      <w:lvlText w:val="%1."/>
      <w:lvlJc w:val="left"/>
    </w:lvl>
  </w:abstractNum>
  <w:abstractNum w:abstractNumId="2">
    <w:nsid w:val="597958E0"/>
    <w:multiLevelType w:val="singleLevel"/>
    <w:tmpl w:val="597958E0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59795A6E"/>
    <w:multiLevelType w:val="singleLevel"/>
    <w:tmpl w:val="59795A6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5D23"/>
    <w:rsid w:val="118612BA"/>
    <w:rsid w:val="141C3964"/>
    <w:rsid w:val="20A01B17"/>
    <w:rsid w:val="2E6E704D"/>
    <w:rsid w:val="30304BE9"/>
    <w:rsid w:val="3C8419C3"/>
    <w:rsid w:val="4B200814"/>
    <w:rsid w:val="5D293535"/>
    <w:rsid w:val="60C02CE3"/>
    <w:rsid w:val="645E3255"/>
    <w:rsid w:val="707C0954"/>
    <w:rsid w:val="712B7647"/>
    <w:rsid w:val="76C65D23"/>
    <w:rsid w:val="76FA7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napToGrid w:val="0"/>
      <w:spacing w:after="200" w:afterLines="0"/>
      <w:jc w:val="left"/>
    </w:pPr>
    <w:rPr>
      <w:rFonts w:ascii="Tahoma" w:hAnsi="Tahoma" w:cs="Tahoma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2017-07-26T08:15:00Z</dcterms:created>
  <dc:creator>Administrator</dc:creator>
  <cp:lastModifiedBy>Nick580</cp:lastModifiedBy>
  <cp:lastPrinted>2017-07-27T07:43:00Z</cp:lastPrinted>
  <dcterms:modified xsi:type="dcterms:W3CDTF">2017-12-04T09:17:46Z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